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56625" w:rsidR="00B01D8E" w:rsidP="00B01D8E" w:rsidRDefault="00B01D8E" w14:paraId="517016E3" w14:textId="619E1A56">
      <w:pPr>
        <w:autoSpaceDE w:val="0"/>
        <w:autoSpaceDN w:val="0"/>
        <w:adjustRightInd w:val="0"/>
        <w:spacing w:after="40"/>
        <w:jc w:val="right"/>
        <w:rPr>
          <w:rFonts w:ascii="Titillium Web" w:hAnsi="Titillium Web" w:cs="Calibri"/>
          <w:b/>
          <w:i/>
          <w:color w:val="3B3838" w:themeColor="background2" w:themeShade="40"/>
          <w:lang w:val="pl-PL"/>
        </w:rPr>
      </w:pPr>
      <w:r w:rsidRPr="00256625">
        <w:rPr>
          <w:rFonts w:ascii="Titillium Web" w:hAnsi="Titillium Web" w:cs="Calibri"/>
          <w:b/>
          <w:i/>
          <w:color w:val="3B3838" w:themeColor="background2" w:themeShade="40"/>
          <w:lang w:val="pl-PL"/>
        </w:rPr>
        <w:t>POSLOVNA TAJNA-POVJERLJIVO</w:t>
      </w:r>
    </w:p>
    <w:p w:rsidR="007B4358" w:rsidP="00BB45AA" w:rsidRDefault="007B4358" w14:paraId="2A90969E" w14:textId="77777777">
      <w:pPr>
        <w:rPr>
          <w:rFonts w:ascii="Calibri" w:hAnsi="Calibri" w:cs="Calibri"/>
          <w:b/>
          <w:i/>
          <w:iCs/>
          <w:color w:val="FF0000"/>
          <w:sz w:val="28"/>
          <w:szCs w:val="28"/>
          <w:u w:val="single"/>
        </w:rPr>
      </w:pPr>
    </w:p>
    <w:p w:rsidR="00C25A5B" w:rsidP="00C25A5B" w:rsidRDefault="00C25A5B" w14:paraId="45F730AD" w14:textId="77777777">
      <w:pPr>
        <w:ind w:left="142"/>
      </w:pPr>
      <w:r>
        <w:rPr>
          <w:noProof/>
        </w:rPr>
        <w:drawing>
          <wp:inline distT="0" distB="0" distL="0" distR="0" wp14:anchorId="2C433546" wp14:editId="295F99EB">
            <wp:extent cx="3497172" cy="1015308"/>
            <wp:effectExtent l="0" t="0" r="0" b="0"/>
            <wp:docPr id="12" name="Picture 1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4624" cy="1026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A5B" w:rsidP="00C25A5B" w:rsidRDefault="00C25A5B" w14:paraId="37134347" w14:textId="77777777">
      <w:pPr>
        <w:jc w:val="center"/>
      </w:pPr>
      <w:r w:rsidRPr="00F21C11">
        <w:rPr>
          <w:noProof/>
          <w:color w:val="FFC000" w:themeColor="accent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09DE4" wp14:editId="53D625A5">
                <wp:simplePos x="0" y="0"/>
                <wp:positionH relativeFrom="column">
                  <wp:posOffset>149400</wp:posOffset>
                </wp:positionH>
                <wp:positionV relativeFrom="paragraph">
                  <wp:posOffset>283723</wp:posOffset>
                </wp:positionV>
                <wp:extent cx="1778621" cy="2757"/>
                <wp:effectExtent l="19050" t="38100" r="50800" b="5461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621" cy="2757"/>
                        </a:xfrm>
                        <a:prstGeom prst="line">
                          <a:avLst/>
                        </a:prstGeom>
                        <a:ln w="66675">
                          <a:solidFill>
                            <a:srgbClr val="FF6B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ff6b00" strokeweight="5.25pt" from="11.75pt,22.35pt" to="151.8pt,22.55pt" w14:anchorId="0A07AD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F0168" wp14:editId="1295E427">
                <wp:simplePos x="0" y="0"/>
                <wp:positionH relativeFrom="column">
                  <wp:posOffset>-907254</wp:posOffset>
                </wp:positionH>
                <wp:positionV relativeFrom="paragraph">
                  <wp:posOffset>287020</wp:posOffset>
                </wp:positionV>
                <wp:extent cx="7540388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03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alpha val="2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-71.45pt,22.6pt" to="522.3pt,22.6pt" w14:anchorId="5556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">
                <v:stroke opacity="13107f" joinstyle="miter"/>
              </v:line>
            </w:pict>
          </mc:Fallback>
        </mc:AlternateContent>
      </w:r>
    </w:p>
    <w:p w:rsidR="00C25A5B" w:rsidP="00C25A5B" w:rsidRDefault="00C25A5B" w14:paraId="7908B9E1" w14:textId="77777777">
      <w:pPr>
        <w:jc w:val="center"/>
      </w:pPr>
    </w:p>
    <w:p w:rsidR="00C25A5B" w:rsidP="00C25A5B" w:rsidRDefault="00C25A5B" w14:paraId="5ECFEAB1" w14:textId="77777777">
      <w:pPr>
        <w:jc w:val="center"/>
      </w:pPr>
    </w:p>
    <w:p w:rsidR="00C25A5B" w:rsidP="00C25A5B" w:rsidRDefault="00C25A5B" w14:paraId="696B6F2D" w14:textId="77777777">
      <w:pPr>
        <w:jc w:val="center"/>
        <w:rPr>
          <w:color w:val="FF6B00"/>
        </w:rPr>
      </w:pPr>
    </w:p>
    <w:p w:rsidR="0086685C" w:rsidP="00C25A5B" w:rsidRDefault="0086685C" w14:paraId="1A3BDDE5" w14:textId="77777777">
      <w:pPr>
        <w:jc w:val="center"/>
        <w:rPr>
          <w:color w:val="FF6B00"/>
        </w:rPr>
      </w:pPr>
    </w:p>
    <w:p w:rsidRPr="00F21C11" w:rsidR="0086685C" w:rsidP="00C25A5B" w:rsidRDefault="0086685C" w14:paraId="28AB14DE" w14:textId="77777777">
      <w:pPr>
        <w:jc w:val="center"/>
        <w:rPr>
          <w:color w:val="FF6B00"/>
        </w:rPr>
      </w:pPr>
    </w:p>
    <w:p w:rsidRPr="006D591A" w:rsidR="00881356" w:rsidP="00881356" w:rsidRDefault="00881356" w14:paraId="0616DED8" w14:textId="7F93D1B9">
      <w:pPr>
        <w:spacing w:line="216" w:lineRule="auto"/>
        <w:rPr>
          <w:rFonts w:ascii="UniZgLight" w:hAnsi="UniZgLight"/>
          <w:sz w:val="56"/>
          <w:szCs w:val="56"/>
        </w:rPr>
      </w:pPr>
      <w:r>
        <w:rPr>
          <w:rFonts w:ascii="UniZgMedium" w:hAnsi="UniZgMedium"/>
          <w:b/>
          <w:bCs/>
          <w:sz w:val="144"/>
          <w:szCs w:val="144"/>
        </w:rPr>
        <w:t>Prijava</w:t>
      </w:r>
      <w:r w:rsidRPr="006D591A">
        <w:rPr>
          <w:rFonts w:ascii="UniZgMedium" w:hAnsi="UniZgMedium"/>
          <w:sz w:val="96"/>
          <w:szCs w:val="96"/>
        </w:rPr>
        <w:t xml:space="preserve"> </w:t>
      </w:r>
      <w:r w:rsidR="00230FFD">
        <w:rPr>
          <w:rFonts w:ascii="UniZgMedium" w:hAnsi="UniZgMedium"/>
          <w:sz w:val="96"/>
          <w:szCs w:val="96"/>
        </w:rPr>
        <w:t>patenta</w:t>
      </w:r>
      <w:r w:rsidRPr="006D591A">
        <w:rPr>
          <w:rFonts w:ascii="UniZgMedium" w:hAnsi="UniZgMedium"/>
          <w:sz w:val="96"/>
          <w:szCs w:val="96"/>
        </w:rPr>
        <w:t xml:space="preserve"> Sveučilišta u Zagrebu</w:t>
      </w:r>
      <w:r w:rsidR="00315FC1">
        <w:rPr>
          <w:rFonts w:ascii="UniZgMedium" w:hAnsi="UniZgMedium"/>
          <w:sz w:val="96"/>
          <w:szCs w:val="96"/>
        </w:rPr>
        <w:t xml:space="preserve"> Građevinskog fakulteta</w:t>
      </w:r>
    </w:p>
    <w:p w:rsidR="00C25A5B" w:rsidP="00C25A5B" w:rsidRDefault="00C25A5B" w14:paraId="5994FA3F" w14:textId="4367F460">
      <w:pPr>
        <w:jc w:val="center"/>
      </w:pPr>
    </w:p>
    <w:p w:rsidR="00C25A5B" w:rsidP="00C25A5B" w:rsidRDefault="00C25A5B" w14:paraId="4351281D" w14:textId="77777777">
      <w:pPr>
        <w:jc w:val="center"/>
      </w:pPr>
    </w:p>
    <w:p w:rsidR="00C25A5B" w:rsidP="00C25A5B" w:rsidRDefault="00C25A5B" w14:paraId="1B7CC996" w14:textId="77777777">
      <w:pPr>
        <w:jc w:val="center"/>
      </w:pPr>
    </w:p>
    <w:p w:rsidR="00C25A5B" w:rsidP="00C25A5B" w:rsidRDefault="00C25A5B" w14:paraId="1D4E4C4C" w14:textId="77777777">
      <w:pPr>
        <w:jc w:val="center"/>
      </w:pPr>
    </w:p>
    <w:p w:rsidR="00C25A5B" w:rsidP="00C25A5B" w:rsidRDefault="00C25A5B" w14:paraId="2E20168B" w14:textId="77777777">
      <w:pPr>
        <w:jc w:val="center"/>
      </w:pPr>
    </w:p>
    <w:p w:rsidR="00C25A5B" w:rsidP="00C25A5B" w:rsidRDefault="00C25A5B" w14:paraId="200D9DA7" w14:textId="77777777">
      <w:pPr>
        <w:jc w:val="center"/>
      </w:pPr>
    </w:p>
    <w:p w:rsidR="00C25A5B" w:rsidP="00C25A5B" w:rsidRDefault="00C25A5B" w14:paraId="4565CA43" w14:textId="77777777">
      <w:pPr>
        <w:jc w:val="center"/>
      </w:pPr>
    </w:p>
    <w:p w:rsidR="00C25A5B" w:rsidP="00C25A5B" w:rsidRDefault="00C25A5B" w14:paraId="6D0D47D3" w14:textId="77777777">
      <w:pPr>
        <w:jc w:val="center"/>
      </w:pPr>
    </w:p>
    <w:p w:rsidR="00C25A5B" w:rsidP="00C25A5B" w:rsidRDefault="00C25A5B" w14:paraId="3189618A" w14:textId="77777777">
      <w:pPr>
        <w:jc w:val="center"/>
      </w:pPr>
    </w:p>
    <w:p w:rsidR="00C25A5B" w:rsidP="00C25A5B" w:rsidRDefault="00C25A5B" w14:paraId="7E6FB695" w14:textId="77777777">
      <w:pPr>
        <w:jc w:val="center"/>
      </w:pPr>
    </w:p>
    <w:p w:rsidR="00C25A5B" w:rsidP="00C25A5B" w:rsidRDefault="00C25A5B" w14:paraId="1EBC6EF6" w14:textId="77777777">
      <w:pPr>
        <w:jc w:val="center"/>
      </w:pPr>
    </w:p>
    <w:p w:rsidR="00824C91" w:rsidP="00C25A5B" w:rsidRDefault="00824C91" w14:paraId="092D7F54" w14:textId="77777777"/>
    <w:p w:rsidR="00824C91" w:rsidP="00C25A5B" w:rsidRDefault="00824C91" w14:paraId="404402FD" w14:textId="77777777"/>
    <w:p w:rsidR="00824C91" w:rsidP="00C25A5B" w:rsidRDefault="00824C91" w14:paraId="2F7194A8" w14:textId="77777777"/>
    <w:p w:rsidR="00824C91" w:rsidP="00C25A5B" w:rsidRDefault="00824C91" w14:paraId="1ECD32CE" w14:textId="77777777"/>
    <w:p w:rsidR="00824C91" w:rsidP="00C25A5B" w:rsidRDefault="00824C91" w14:paraId="6E3A283D" w14:textId="77777777"/>
    <w:p w:rsidR="00824C91" w:rsidP="00C25A5B" w:rsidRDefault="00824C91" w14:paraId="0C8A3629" w14:textId="77777777"/>
    <w:p w:rsidR="00824C91" w:rsidP="00C25A5B" w:rsidRDefault="00824C91" w14:paraId="6C4E6AB0" w14:textId="77777777"/>
    <w:p w:rsidR="00824C91" w:rsidP="00C25A5B" w:rsidRDefault="00824C91" w14:paraId="4FA7E7F9" w14:textId="77777777"/>
    <w:p w:rsidR="00824C91" w:rsidP="00C25A5B" w:rsidRDefault="00824C91" w14:paraId="471AFFB9" w14:textId="77777777"/>
    <w:p w:rsidR="00C25A5B" w:rsidP="00C25A5B" w:rsidRDefault="00C25A5B" w14:paraId="5D1EE0C6" w14:textId="777B0FD3">
      <w:r>
        <w:rPr>
          <w:noProof/>
        </w:rPr>
        <w:drawing>
          <wp:inline distT="0" distB="0" distL="0" distR="0" wp14:anchorId="619DD25F" wp14:editId="7E9C7F5E">
            <wp:extent cx="750627" cy="785112"/>
            <wp:effectExtent l="0" t="0" r="0" b="0"/>
            <wp:docPr id="9" name="Picture 9" descr="A black and orange and grey geometric shap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black and orange and grey geometric shapes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60" cy="799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1DB" w:rsidP="00420D88" w:rsidRDefault="005E61DB" w14:paraId="2C3D330F" w14:textId="77777777">
      <w:pPr>
        <w:jc w:val="both"/>
        <w:rPr>
          <w:rFonts w:ascii="Titillium Web" w:hAnsi="Titillium Web" w:cs="Calibri"/>
          <w:b/>
          <w:bCs/>
          <w:i/>
          <w:iCs/>
        </w:rPr>
      </w:pPr>
    </w:p>
    <w:p w:rsidR="005E61DB" w:rsidP="00420D88" w:rsidRDefault="005E61DB" w14:paraId="255CE44A" w14:textId="77777777">
      <w:pPr>
        <w:jc w:val="both"/>
        <w:rPr>
          <w:rFonts w:ascii="Titillium Web" w:hAnsi="Titillium Web" w:cs="Calibri"/>
          <w:b/>
          <w:bCs/>
          <w:i/>
          <w:iCs/>
        </w:rPr>
      </w:pPr>
    </w:p>
    <w:p w:rsidRPr="005E61DB" w:rsidR="00F82343" w:rsidP="00420D88" w:rsidRDefault="00F82343" w14:paraId="2ED44EB0" w14:textId="42DCA2C3">
      <w:pPr>
        <w:jc w:val="both"/>
        <w:rPr>
          <w:rFonts w:ascii="Titillium Web" w:hAnsi="Titillium Web" w:cs="Calibri"/>
          <w:b/>
          <w:bCs/>
        </w:rPr>
      </w:pPr>
      <w:r w:rsidRPr="005E61DB">
        <w:rPr>
          <w:rFonts w:ascii="Titillium Web" w:hAnsi="Titillium Web" w:cs="Calibri"/>
          <w:b/>
          <w:bCs/>
        </w:rPr>
        <w:t>Uvodna napomena</w:t>
      </w:r>
    </w:p>
    <w:p w:rsidRPr="00881356" w:rsidR="00F82343" w:rsidP="00420D88" w:rsidRDefault="00F82343" w14:paraId="70414D36" w14:textId="77777777">
      <w:pPr>
        <w:jc w:val="both"/>
        <w:rPr>
          <w:rFonts w:ascii="Titillium Web" w:hAnsi="Titillium Web" w:cs="Calibri"/>
        </w:rPr>
      </w:pPr>
    </w:p>
    <w:p w:rsidRPr="00D9566C" w:rsidR="00D9566C" w:rsidP="00D9566C" w:rsidRDefault="00420D88" w14:paraId="73F16E3D" w14:textId="330348D9">
      <w:pPr>
        <w:jc w:val="both"/>
        <w:rPr>
          <w:rFonts w:ascii="Titillium Web" w:hAnsi="Titillium Web" w:cs="Calibri"/>
        </w:rPr>
      </w:pPr>
      <w:r w:rsidRPr="00881356">
        <w:rPr>
          <w:rFonts w:ascii="Titillium Web" w:hAnsi="Titillium Web" w:cs="Calibri"/>
        </w:rPr>
        <w:t>Ova prijava služi za evidenciju</w:t>
      </w:r>
      <w:r w:rsidRPr="00881356" w:rsidR="00FB3B01">
        <w:rPr>
          <w:rFonts w:ascii="Titillium Web" w:hAnsi="Titillium Web" w:cs="Calibri"/>
        </w:rPr>
        <w:t xml:space="preserve"> prijavljenih </w:t>
      </w:r>
      <w:r w:rsidR="00090C0B">
        <w:rPr>
          <w:rFonts w:ascii="Titillium Web" w:hAnsi="Titillium Web" w:cs="Calibri"/>
        </w:rPr>
        <w:t>patenata</w:t>
      </w:r>
      <w:r w:rsidR="00545A29">
        <w:rPr>
          <w:rStyle w:val="FootnoteReference"/>
          <w:rFonts w:ascii="Titillium Web" w:hAnsi="Titillium Web" w:cs="Calibri"/>
        </w:rPr>
        <w:footnoteReference w:id="2"/>
      </w:r>
      <w:r w:rsidRPr="00881356" w:rsidR="00FB3B01">
        <w:rPr>
          <w:rFonts w:ascii="Titillium Web" w:hAnsi="Titillium Web" w:cs="Calibri"/>
        </w:rPr>
        <w:t xml:space="preserve"> Sveučilišta u Zagrebu</w:t>
      </w:r>
      <w:r w:rsidR="007E11B2">
        <w:rPr>
          <w:rFonts w:ascii="Titillium Web" w:hAnsi="Titillium Web" w:cs="Calibri"/>
        </w:rPr>
        <w:t xml:space="preserve"> </w:t>
      </w:r>
      <w:r w:rsidRPr="00881356" w:rsidR="00315FC1">
        <w:rPr>
          <w:rFonts w:ascii="Titillium Web" w:hAnsi="Titillium Web" w:cs="Calibri"/>
        </w:rPr>
        <w:t xml:space="preserve">Građevinskog fakulteta </w:t>
      </w:r>
      <w:r w:rsidRPr="00D9566C" w:rsidR="00D9566C">
        <w:rPr>
          <w:rFonts w:ascii="Titillium Web" w:hAnsi="Titillium Web" w:cs="Calibri"/>
        </w:rPr>
        <w:t xml:space="preserve">u skladu s odredbama sveučilišnog </w:t>
      </w:r>
      <w:hyperlink w:history="1" r:id="rId10">
        <w:r w:rsidRPr="00981CE7" w:rsidR="00D9566C">
          <w:rPr>
            <w:rStyle w:val="Hyperlink"/>
            <w:rFonts w:ascii="Titillium Web" w:hAnsi="Titillium Web" w:cs="Calibri"/>
            <w:b/>
          </w:rPr>
          <w:t>Pravilnika o</w:t>
        </w:r>
        <w:r w:rsidRPr="00981CE7" w:rsidR="00D9566C">
          <w:rPr>
            <w:rStyle w:val="Hyperlink"/>
            <w:rFonts w:ascii="Titillium Web" w:hAnsi="Titillium Web" w:cs="Calibri"/>
            <w:b/>
          </w:rPr>
          <w:t xml:space="preserve"> </w:t>
        </w:r>
        <w:r w:rsidRPr="00981CE7" w:rsidR="00D9566C">
          <w:rPr>
            <w:rStyle w:val="Hyperlink"/>
            <w:rFonts w:ascii="Titillium Web" w:hAnsi="Titillium Web" w:cs="Calibri"/>
            <w:b/>
          </w:rPr>
          <w:t>upravljanju intelektualnim vlasništvom</w:t>
        </w:r>
      </w:hyperlink>
      <w:r w:rsidRPr="00D9566C" w:rsidR="00D9566C">
        <w:rPr>
          <w:rFonts w:ascii="Titillium Web" w:hAnsi="Titillium Web" w:cs="Calibri"/>
        </w:rPr>
        <w:t xml:space="preserve"> (točka 4.1. Prijava rezultata istraživanja). Prijava se podnosi čelniku sastavnice koji s prijavom postupa također u skladu s odredbama sveučilišnog Pravilnika (točka 4.2. Postupanje s prijavom rezultata istraživanja podnesenom sastavnici) kao i pravilima koje je donijela sastavnica. </w:t>
      </w:r>
    </w:p>
    <w:p w:rsidRPr="00881356" w:rsidR="00FB3B01" w:rsidP="00420D88" w:rsidRDefault="00FB3B01" w14:paraId="00667AB5" w14:textId="101F04B6">
      <w:pPr>
        <w:jc w:val="both"/>
        <w:rPr>
          <w:rFonts w:ascii="Titillium Web" w:hAnsi="Titillium Web" w:cs="Calibri"/>
        </w:rPr>
      </w:pPr>
    </w:p>
    <w:p w:rsidRPr="00881356" w:rsidR="00420D88" w:rsidP="00420D88" w:rsidRDefault="00420D88" w14:paraId="035FECB6" w14:textId="77777777">
      <w:pPr>
        <w:jc w:val="both"/>
        <w:rPr>
          <w:rFonts w:ascii="Titillium Web" w:hAnsi="Titillium Web" w:cs="Calibri"/>
        </w:rPr>
      </w:pPr>
      <w:r w:rsidRPr="00881356">
        <w:rPr>
          <w:rFonts w:ascii="Titillium Web" w:hAnsi="Titillium Web" w:cs="Calibri"/>
        </w:rPr>
        <w:t xml:space="preserve">Prije podnošenja prijave sastavnici, za pomoć u ispunjavanju prijave možete kontaktirati: </w:t>
      </w:r>
    </w:p>
    <w:p w:rsidRPr="00881356" w:rsidR="00420D88" w:rsidP="00420D88" w:rsidRDefault="00420D88" w14:paraId="703A3BC5" w14:textId="1DCD3ED7">
      <w:pPr>
        <w:ind w:left="708"/>
        <w:jc w:val="both"/>
        <w:rPr>
          <w:rFonts w:ascii="Titillium Web" w:hAnsi="Titillium Web" w:cs="Calibri"/>
          <w:iCs/>
        </w:rPr>
      </w:pPr>
      <w:r w:rsidRPr="00881356">
        <w:rPr>
          <w:rFonts w:ascii="Titillium Web" w:hAnsi="Titillium Web" w:cs="Calibri"/>
          <w:iCs/>
        </w:rPr>
        <w:t>Sveučilište u Zagrebu Građevinski fakultet</w:t>
      </w:r>
    </w:p>
    <w:p w:rsidRPr="00881356" w:rsidR="00420D88" w:rsidP="00420D88" w:rsidRDefault="00420D88" w14:paraId="0513F9DE" w14:textId="77777777">
      <w:pPr>
        <w:ind w:left="708"/>
        <w:jc w:val="both"/>
        <w:rPr>
          <w:rFonts w:ascii="Titillium Web" w:hAnsi="Titillium Web" w:cs="Calibri"/>
          <w:iCs/>
        </w:rPr>
      </w:pPr>
      <w:r w:rsidRPr="00881356">
        <w:rPr>
          <w:rFonts w:ascii="Titillium Web" w:hAnsi="Titillium Web" w:cs="Calibri"/>
          <w:iCs/>
        </w:rPr>
        <w:t>Centar za projekte, inovacije i transfer tehnologije</w:t>
      </w:r>
    </w:p>
    <w:p w:rsidRPr="00881356" w:rsidR="00420D88" w:rsidP="00420D88" w:rsidRDefault="00420D88" w14:paraId="6A657284" w14:textId="77777777">
      <w:pPr>
        <w:ind w:left="708"/>
        <w:jc w:val="both"/>
        <w:rPr>
          <w:rFonts w:ascii="Titillium Web" w:hAnsi="Titillium Web" w:cs="Calibri"/>
          <w:iCs/>
        </w:rPr>
      </w:pPr>
      <w:r w:rsidRPr="00881356">
        <w:rPr>
          <w:rFonts w:ascii="Titillium Web" w:hAnsi="Titillium Web" w:cs="Calibri"/>
          <w:iCs/>
        </w:rPr>
        <w:t>Osobe za kontakt:</w:t>
      </w:r>
    </w:p>
    <w:p w:rsidRPr="00881356" w:rsidR="00420D88" w:rsidP="00420D88" w:rsidRDefault="00420D88" w14:paraId="50E72CFC" w14:textId="31AAB815">
      <w:pPr>
        <w:numPr>
          <w:ilvl w:val="0"/>
          <w:numId w:val="1"/>
        </w:numPr>
        <w:jc w:val="both"/>
        <w:rPr>
          <w:rFonts w:ascii="Titillium Web" w:hAnsi="Titillium Web" w:cs="Calibri"/>
          <w:iCs/>
        </w:rPr>
      </w:pPr>
      <w:r w:rsidRPr="00881356">
        <w:rPr>
          <w:rFonts w:ascii="Titillium Web" w:hAnsi="Titillium Web" w:cs="Calibri"/>
          <w:iCs/>
        </w:rPr>
        <w:t xml:space="preserve">Kristina Baraba </w:t>
      </w:r>
      <w:proofErr w:type="spellStart"/>
      <w:r w:rsidRPr="00881356">
        <w:rPr>
          <w:rFonts w:ascii="Titillium Web" w:hAnsi="Titillium Web" w:cs="Calibri"/>
          <w:iCs/>
        </w:rPr>
        <w:t>Posarić</w:t>
      </w:r>
      <w:proofErr w:type="spellEnd"/>
      <w:r w:rsidRPr="00881356">
        <w:rPr>
          <w:rFonts w:ascii="Titillium Web" w:hAnsi="Titillium Web" w:cs="Calibri"/>
          <w:iCs/>
        </w:rPr>
        <w:t xml:space="preserve">, voditeljica </w:t>
      </w:r>
      <w:r w:rsidR="00315FC1">
        <w:rPr>
          <w:rFonts w:ascii="Titillium Web" w:hAnsi="Titillium Web" w:cs="Calibri"/>
          <w:iCs/>
        </w:rPr>
        <w:t>(</w:t>
      </w:r>
      <w:proofErr w:type="spellStart"/>
      <w:r w:rsidR="00315FC1">
        <w:rPr>
          <w:rFonts w:ascii="Titillium Web" w:hAnsi="Titillium Web" w:cs="Calibri"/>
          <w:iCs/>
        </w:rPr>
        <w:t>rodiljni</w:t>
      </w:r>
      <w:proofErr w:type="spellEnd"/>
      <w:r w:rsidR="00315FC1">
        <w:rPr>
          <w:rFonts w:ascii="Titillium Web" w:hAnsi="Titillium Web" w:cs="Calibri"/>
          <w:iCs/>
        </w:rPr>
        <w:t xml:space="preserve"> dopust)</w:t>
      </w:r>
    </w:p>
    <w:p w:rsidRPr="00881356" w:rsidR="00420D88" w:rsidP="00420D88" w:rsidRDefault="00420D88" w14:paraId="4FB5A320" w14:textId="76F787F3">
      <w:pPr>
        <w:numPr>
          <w:ilvl w:val="0"/>
          <w:numId w:val="1"/>
        </w:numPr>
        <w:jc w:val="both"/>
        <w:rPr>
          <w:rFonts w:ascii="Titillium Web" w:hAnsi="Titillium Web" w:cs="Calibri"/>
          <w:iCs/>
        </w:rPr>
      </w:pPr>
      <w:r w:rsidRPr="00881356">
        <w:rPr>
          <w:rFonts w:ascii="Titillium Web" w:hAnsi="Titillium Web" w:cs="Calibri"/>
          <w:iCs/>
        </w:rPr>
        <w:t xml:space="preserve">Ida Javorski Milošić, </w:t>
      </w:r>
      <w:r w:rsidR="00315FC1">
        <w:rPr>
          <w:rFonts w:ascii="Titillium Web" w:hAnsi="Titillium Web" w:cs="Calibri"/>
          <w:iCs/>
        </w:rPr>
        <w:t>voditeljica</w:t>
      </w:r>
    </w:p>
    <w:p w:rsidR="00420D88" w:rsidP="00420D88" w:rsidRDefault="00420D88" w14:paraId="063FEBD4" w14:textId="77777777">
      <w:pPr>
        <w:ind w:left="708"/>
        <w:jc w:val="both"/>
        <w:rPr>
          <w:rFonts w:ascii="Titillium Web" w:hAnsi="Titillium Web" w:cs="Calibri"/>
          <w:iCs/>
        </w:rPr>
      </w:pPr>
      <w:r w:rsidRPr="00881356">
        <w:rPr>
          <w:rFonts w:ascii="Titillium Web" w:hAnsi="Titillium Web" w:cs="Calibri"/>
          <w:iCs/>
        </w:rPr>
        <w:t xml:space="preserve">E-mail: cepitt@grad.unizg.hr </w:t>
      </w:r>
    </w:p>
    <w:p w:rsidR="00254F36" w:rsidP="00420D88" w:rsidRDefault="00254F36" w14:paraId="480B91FC" w14:textId="77777777">
      <w:pPr>
        <w:rPr>
          <w:rFonts w:ascii="Titillium Web" w:hAnsi="Titillium Web" w:cs="Calibri"/>
          <w:b/>
        </w:rPr>
      </w:pPr>
    </w:p>
    <w:p w:rsidRPr="005B16C9" w:rsidR="00C8480B" w:rsidP="00C8480B" w:rsidRDefault="00C8480B" w14:paraId="04CE424F" w14:textId="4F6D7F1E">
      <w:pPr>
        <w:jc w:val="both"/>
        <w:rPr>
          <w:rFonts w:ascii="Titillium Web" w:hAnsi="Titillium Web" w:cs="Calibri"/>
          <w:sz w:val="22"/>
          <w:szCs w:val="22"/>
        </w:rPr>
      </w:pPr>
      <w:r w:rsidRPr="005B16C9">
        <w:rPr>
          <w:rFonts w:ascii="Titillium Web" w:hAnsi="Titillium Web" w:cs="Calibri"/>
          <w:sz w:val="22"/>
          <w:szCs w:val="22"/>
        </w:rPr>
        <w:t xml:space="preserve">Cjelovit tekst dokumenata na temelju kojih je organizirano upravljanje intelektualnim vlasništvom na </w:t>
      </w:r>
      <w:r w:rsidRPr="005B16C9" w:rsidR="00315FC1">
        <w:rPr>
          <w:rFonts w:ascii="Titillium Web" w:hAnsi="Titillium Web" w:cs="Calibri"/>
          <w:sz w:val="22"/>
          <w:szCs w:val="22"/>
        </w:rPr>
        <w:t>Sveučilišt</w:t>
      </w:r>
      <w:r w:rsidR="00315FC1">
        <w:rPr>
          <w:rFonts w:ascii="Titillium Web" w:hAnsi="Titillium Web" w:cs="Calibri"/>
          <w:sz w:val="22"/>
          <w:szCs w:val="22"/>
        </w:rPr>
        <w:t>u</w:t>
      </w:r>
      <w:r w:rsidRPr="005B16C9" w:rsidR="00315FC1">
        <w:rPr>
          <w:rFonts w:ascii="Titillium Web" w:hAnsi="Titillium Web" w:cs="Calibri"/>
          <w:sz w:val="22"/>
          <w:szCs w:val="22"/>
        </w:rPr>
        <w:t xml:space="preserve"> u Zagrebu </w:t>
      </w:r>
      <w:r w:rsidRPr="005B16C9">
        <w:rPr>
          <w:rFonts w:ascii="Titillium Web" w:hAnsi="Titillium Web" w:cs="Calibri"/>
          <w:sz w:val="22"/>
          <w:szCs w:val="22"/>
        </w:rPr>
        <w:t xml:space="preserve">Građevinskom fakultetu možete naći na poveznicama: </w:t>
      </w:r>
    </w:p>
    <w:p w:rsidRPr="005B16C9" w:rsidR="00C8480B" w:rsidP="00C8480B" w:rsidRDefault="00000000" w14:paraId="77D27C74" w14:textId="77777777">
      <w:pPr>
        <w:numPr>
          <w:ilvl w:val="0"/>
          <w:numId w:val="2"/>
        </w:numPr>
        <w:jc w:val="both"/>
        <w:rPr>
          <w:rFonts w:ascii="Titillium Web" w:hAnsi="Titillium Web" w:cs="Calibri"/>
          <w:sz w:val="22"/>
          <w:szCs w:val="22"/>
        </w:rPr>
      </w:pPr>
      <w:hyperlink w:history="1" r:id="rId11">
        <w:r w:rsidRPr="005B16C9" w:rsidR="00C8480B">
          <w:rPr>
            <w:rStyle w:val="Hyperlink"/>
            <w:rFonts w:ascii="Titillium Web" w:hAnsi="Titillium Web" w:cs="Calibri"/>
            <w:sz w:val="22"/>
            <w:szCs w:val="22"/>
          </w:rPr>
          <w:t>Smjernice upravljanja intelektualnim</w:t>
        </w:r>
        <w:r w:rsidRPr="005B16C9" w:rsidR="00C8480B">
          <w:rPr>
            <w:rStyle w:val="Hyperlink"/>
            <w:rFonts w:ascii="Titillium Web" w:hAnsi="Titillium Web" w:cs="Calibri"/>
            <w:sz w:val="22"/>
            <w:szCs w:val="22"/>
          </w:rPr>
          <w:t xml:space="preserve"> </w:t>
        </w:r>
        <w:r w:rsidRPr="005B16C9" w:rsidR="00C8480B">
          <w:rPr>
            <w:rStyle w:val="Hyperlink"/>
            <w:rFonts w:ascii="Titillium Web" w:hAnsi="Titillium Web" w:cs="Calibri"/>
            <w:sz w:val="22"/>
            <w:szCs w:val="22"/>
          </w:rPr>
          <w:t>vlasništvom na Sveučilištu u Zagrebu</w:t>
        </w:r>
      </w:hyperlink>
    </w:p>
    <w:p w:rsidRPr="005B16C9" w:rsidR="00C8480B" w:rsidP="00C8480B" w:rsidRDefault="00000000" w14:paraId="60FD7157" w14:textId="77777777">
      <w:pPr>
        <w:numPr>
          <w:ilvl w:val="0"/>
          <w:numId w:val="2"/>
        </w:numPr>
        <w:jc w:val="both"/>
        <w:rPr>
          <w:rFonts w:ascii="Titillium Web" w:hAnsi="Titillium Web" w:cs="Calibri"/>
          <w:sz w:val="22"/>
          <w:szCs w:val="22"/>
        </w:rPr>
      </w:pPr>
      <w:hyperlink w:history="1" r:id="rId12">
        <w:r w:rsidRPr="005B16C9" w:rsidR="00C8480B">
          <w:rPr>
            <w:rStyle w:val="Hyperlink"/>
            <w:rFonts w:ascii="Titillium Web" w:hAnsi="Titillium Web" w:cs="Calibri"/>
            <w:sz w:val="22"/>
            <w:szCs w:val="22"/>
          </w:rPr>
          <w:t>Pravilnik o uprav</w:t>
        </w:r>
        <w:r w:rsidRPr="005B16C9" w:rsidR="00C8480B">
          <w:rPr>
            <w:rStyle w:val="Hyperlink"/>
            <w:rFonts w:ascii="Titillium Web" w:hAnsi="Titillium Web" w:cs="Calibri"/>
            <w:sz w:val="22"/>
            <w:szCs w:val="22"/>
          </w:rPr>
          <w:t>l</w:t>
        </w:r>
        <w:r w:rsidRPr="005B16C9" w:rsidR="00C8480B">
          <w:rPr>
            <w:rStyle w:val="Hyperlink"/>
            <w:rFonts w:ascii="Titillium Web" w:hAnsi="Titillium Web" w:cs="Calibri"/>
            <w:sz w:val="22"/>
            <w:szCs w:val="22"/>
          </w:rPr>
          <w:t>janju intelektualnim vlasništvom na Sveučilištu u Zagrebu</w:t>
        </w:r>
      </w:hyperlink>
    </w:p>
    <w:p w:rsidRPr="005B16C9" w:rsidR="00C8480B" w:rsidP="00C8480B" w:rsidRDefault="00000000" w14:paraId="75F1F28A" w14:textId="77777777">
      <w:pPr>
        <w:numPr>
          <w:ilvl w:val="0"/>
          <w:numId w:val="2"/>
        </w:numPr>
        <w:jc w:val="both"/>
        <w:rPr>
          <w:rFonts w:ascii="Titillium Web" w:hAnsi="Titillium Web" w:cs="Calibri"/>
          <w:sz w:val="22"/>
          <w:szCs w:val="22"/>
        </w:rPr>
      </w:pPr>
      <w:hyperlink w:history="1" r:id="rId13">
        <w:r w:rsidRPr="005B16C9" w:rsidR="00C8480B">
          <w:rPr>
            <w:rStyle w:val="Hyperlink"/>
            <w:rFonts w:ascii="Titillium Web" w:hAnsi="Titillium Web" w:cs="Calibri"/>
            <w:sz w:val="22"/>
            <w:szCs w:val="22"/>
          </w:rPr>
          <w:t>Odluka o preuziman</w:t>
        </w:r>
        <w:r w:rsidRPr="005B16C9" w:rsidR="00C8480B">
          <w:rPr>
            <w:rStyle w:val="Hyperlink"/>
            <w:rFonts w:ascii="Titillium Web" w:hAnsi="Titillium Web" w:cs="Calibri"/>
            <w:sz w:val="22"/>
            <w:szCs w:val="22"/>
          </w:rPr>
          <w:t>j</w:t>
        </w:r>
        <w:r w:rsidRPr="005B16C9" w:rsidR="00C8480B">
          <w:rPr>
            <w:rStyle w:val="Hyperlink"/>
            <w:rFonts w:ascii="Titillium Web" w:hAnsi="Titillium Web" w:cs="Calibri"/>
            <w:sz w:val="22"/>
            <w:szCs w:val="22"/>
          </w:rPr>
          <w:t>u Pravilnika o upravljanju intelektualnim vlasništvom na Sveučilištu u Zagrebu i Smjernica o upravljanju intelektualnim vlasništvom Sveučilišta u Zagrebu od 5. srpnja 2023. (KLASA: 007-06/23-09/01; URBROJ: 251-64-03-23-84</w:t>
        </w:r>
      </w:hyperlink>
      <w:r w:rsidRPr="005B16C9" w:rsidR="00C8480B">
        <w:rPr>
          <w:rFonts w:ascii="Titillium Web" w:hAnsi="Titillium Web" w:cs="Calibri"/>
          <w:sz w:val="22"/>
          <w:szCs w:val="22"/>
        </w:rPr>
        <w:t>).</w:t>
      </w:r>
    </w:p>
    <w:p w:rsidR="00C8480B" w:rsidP="00420D88" w:rsidRDefault="00C8480B" w14:paraId="65DA5A7C" w14:textId="77777777">
      <w:pPr>
        <w:rPr>
          <w:rFonts w:ascii="Titillium Web" w:hAnsi="Titillium Web" w:cs="Calibri"/>
          <w:b/>
        </w:rPr>
      </w:pPr>
    </w:p>
    <w:p w:rsidR="00FC1825" w:rsidP="00420D88" w:rsidRDefault="00FC1825" w14:paraId="63A5364A" w14:textId="77777777">
      <w:pPr>
        <w:rPr>
          <w:rFonts w:ascii="Titillium Web" w:hAnsi="Titillium Web" w:cs="Calibri"/>
          <w:b/>
        </w:rPr>
      </w:pPr>
    </w:p>
    <w:p w:rsidRPr="005B16C9" w:rsidR="00FC1825" w:rsidP="00FC1825" w:rsidRDefault="00FC1825" w14:paraId="5C0FE482" w14:textId="77777777">
      <w:pPr>
        <w:jc w:val="both"/>
        <w:rPr>
          <w:rFonts w:ascii="Titillium Web" w:hAnsi="Titillium Web" w:cs="Calibri"/>
          <w:sz w:val="22"/>
          <w:szCs w:val="22"/>
        </w:rPr>
      </w:pPr>
    </w:p>
    <w:p w:rsidRPr="005B16C9" w:rsidR="00FC1825" w:rsidP="00FC1825" w:rsidRDefault="00FC1825" w14:paraId="68BE2D1C" w14:textId="0AF3870F">
      <w:pPr>
        <w:rPr>
          <w:rFonts w:ascii="Titillium Web" w:hAnsi="Titillium Web" w:cs="Calibri"/>
          <w:sz w:val="22"/>
          <w:szCs w:val="22"/>
        </w:rPr>
      </w:pPr>
      <w:r w:rsidRPr="005B16C9">
        <w:rPr>
          <w:rFonts w:ascii="Titillium Web" w:hAnsi="Titillium Web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1E3CD1" wp14:editId="38936E19">
                <wp:simplePos x="0" y="0"/>
                <wp:positionH relativeFrom="column">
                  <wp:posOffset>-82550</wp:posOffset>
                </wp:positionH>
                <wp:positionV relativeFrom="paragraph">
                  <wp:posOffset>116205</wp:posOffset>
                </wp:positionV>
                <wp:extent cx="5939790" cy="9525"/>
                <wp:effectExtent l="7620" t="10795" r="5715" b="8255"/>
                <wp:wrapNone/>
                <wp:docPr id="779535972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979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6D050604">
                <v:path fillok="f" arrowok="t" o:connecttype="none"/>
                <o:lock v:ext="edit" shapetype="t"/>
              </v:shapetype>
              <v:shape id="Straight Arrow Connector 1" style="position:absolute;margin-left:-6.5pt;margin-top:9.15pt;width:467.7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"/>
            </w:pict>
          </mc:Fallback>
        </mc:AlternateContent>
      </w:r>
    </w:p>
    <w:p w:rsidRPr="005B16C9" w:rsidR="00FC1825" w:rsidP="00FC1825" w:rsidRDefault="00FC1825" w14:paraId="62D57BDD" w14:textId="77777777">
      <w:pPr>
        <w:rPr>
          <w:rFonts w:ascii="Titillium Web" w:hAnsi="Titillium Web" w:cs="Calibri"/>
          <w:b/>
          <w:sz w:val="22"/>
          <w:szCs w:val="22"/>
        </w:rPr>
      </w:pPr>
      <w:r w:rsidRPr="005B16C9">
        <w:rPr>
          <w:rFonts w:ascii="Titillium Web" w:hAnsi="Titillium Web" w:cs="Calibri"/>
          <w:b/>
          <w:sz w:val="22"/>
          <w:szCs w:val="22"/>
        </w:rPr>
        <w:t xml:space="preserve">ISPUNJAVA OSOBA NA SASTAVNICI ZADUŽENA ZA POSTUPANJE S PRIJAVOM: </w:t>
      </w:r>
    </w:p>
    <w:p w:rsidRPr="005B16C9" w:rsidR="00FC1825" w:rsidP="00FC1825" w:rsidRDefault="00FC1825" w14:paraId="32FDAE52" w14:textId="77777777">
      <w:pPr>
        <w:rPr>
          <w:rFonts w:ascii="Titillium Web" w:hAnsi="Titillium Web" w:cs="Calibri"/>
          <w:sz w:val="22"/>
          <w:szCs w:val="22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856"/>
        <w:gridCol w:w="6160"/>
      </w:tblGrid>
      <w:tr w:rsidRPr="005B16C9" w:rsidR="00FC1825" w:rsidTr="7C0F2DD9" w14:paraId="7BB092B0" w14:textId="77777777">
        <w:trPr>
          <w:trHeight w:val="397"/>
        </w:trPr>
        <w:tc>
          <w:tcPr>
            <w:tcW w:w="1584" w:type="pct"/>
            <w:shd w:val="clear" w:color="auto" w:fill="F2F2F2" w:themeFill="background1" w:themeFillShade="F2"/>
            <w:tcMar/>
            <w:vAlign w:val="center"/>
          </w:tcPr>
          <w:p w:rsidRPr="005B16C9" w:rsidR="00FC1825" w:rsidP="0020153A" w:rsidRDefault="00FC1825" w14:paraId="49153BE2" w14:textId="77777777">
            <w:pPr>
              <w:rPr>
                <w:rFonts w:ascii="Titillium Web" w:hAnsi="Titillium Web" w:cs="Calibri"/>
                <w:sz w:val="22"/>
                <w:szCs w:val="22"/>
              </w:rPr>
            </w:pPr>
            <w:r w:rsidRPr="005B16C9">
              <w:rPr>
                <w:rFonts w:ascii="Titillium Web" w:hAnsi="Titillium Web" w:cs="Calibri"/>
                <w:sz w:val="22"/>
                <w:szCs w:val="22"/>
              </w:rPr>
              <w:t>Datum zaprimanja</w:t>
            </w:r>
          </w:p>
        </w:tc>
        <w:tc>
          <w:tcPr>
            <w:tcW w:w="3416" w:type="pct"/>
            <w:tcMar/>
            <w:vAlign w:val="center"/>
          </w:tcPr>
          <w:p w:rsidRPr="005B16C9" w:rsidR="00FC1825" w:rsidP="0020153A" w:rsidRDefault="00FC1825" w14:paraId="4EA71A80" w14:textId="77777777">
            <w:pPr>
              <w:autoSpaceDE w:val="0"/>
              <w:autoSpaceDN w:val="0"/>
              <w:adjustRightInd w:val="0"/>
              <w:rPr>
                <w:rFonts w:ascii="Titillium Web" w:hAnsi="Titillium Web" w:cs="Calibri"/>
                <w:color w:val="000000"/>
                <w:sz w:val="22"/>
                <w:szCs w:val="22"/>
              </w:rPr>
            </w:pPr>
          </w:p>
        </w:tc>
      </w:tr>
      <w:tr w:rsidRPr="005B16C9" w:rsidR="00FC1825" w:rsidTr="7C0F2DD9" w14:paraId="39CD4912" w14:textId="77777777">
        <w:trPr>
          <w:trHeight w:val="397"/>
        </w:trPr>
        <w:tc>
          <w:tcPr>
            <w:tcW w:w="1584" w:type="pct"/>
            <w:shd w:val="clear" w:color="auto" w:fill="F2F2F2" w:themeFill="background1" w:themeFillShade="F2"/>
            <w:tcMar/>
            <w:vAlign w:val="center"/>
          </w:tcPr>
          <w:p w:rsidRPr="005B16C9" w:rsidR="00FC1825" w:rsidP="0020153A" w:rsidRDefault="00FC1825" w14:paraId="3FF8633F" w14:textId="77777777">
            <w:pPr>
              <w:rPr>
                <w:rFonts w:ascii="Titillium Web" w:hAnsi="Titillium Web" w:cs="Calibri"/>
                <w:sz w:val="22"/>
                <w:szCs w:val="22"/>
              </w:rPr>
            </w:pPr>
            <w:r w:rsidRPr="005B16C9">
              <w:rPr>
                <w:rFonts w:ascii="Titillium Web" w:hAnsi="Titillium Web" w:cs="Calibri"/>
                <w:sz w:val="22"/>
                <w:szCs w:val="22"/>
              </w:rPr>
              <w:t>Klasa</w:t>
            </w:r>
          </w:p>
        </w:tc>
        <w:tc>
          <w:tcPr>
            <w:tcW w:w="3416" w:type="pct"/>
            <w:tcMar/>
            <w:vAlign w:val="center"/>
          </w:tcPr>
          <w:p w:rsidRPr="005B16C9" w:rsidR="00FC1825" w:rsidP="0020153A" w:rsidRDefault="00FC1825" w14:paraId="370444B9" w14:textId="77777777">
            <w:pPr>
              <w:autoSpaceDE w:val="0"/>
              <w:autoSpaceDN w:val="0"/>
              <w:adjustRightInd w:val="0"/>
              <w:rPr>
                <w:rFonts w:ascii="Titillium Web" w:hAnsi="Titillium Web" w:cs="Calibri"/>
                <w:color w:val="000000"/>
                <w:sz w:val="22"/>
                <w:szCs w:val="22"/>
              </w:rPr>
            </w:pPr>
          </w:p>
        </w:tc>
      </w:tr>
      <w:tr w:rsidRPr="005B16C9" w:rsidR="00FC1825" w:rsidTr="7C0F2DD9" w14:paraId="4EA1744F" w14:textId="77777777">
        <w:trPr>
          <w:trHeight w:val="397"/>
        </w:trPr>
        <w:tc>
          <w:tcPr>
            <w:tcW w:w="1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5B16C9" w:rsidR="00FC1825" w:rsidP="0020153A" w:rsidRDefault="00FC1825" w14:paraId="1379058B" w14:textId="77777777">
            <w:pPr>
              <w:rPr>
                <w:rFonts w:ascii="Titillium Web" w:hAnsi="Titillium Web" w:cs="Calibri"/>
                <w:sz w:val="22"/>
                <w:szCs w:val="22"/>
              </w:rPr>
            </w:pPr>
            <w:proofErr w:type="spellStart"/>
            <w:r w:rsidRPr="005B16C9">
              <w:rPr>
                <w:rFonts w:ascii="Titillium Web" w:hAnsi="Titillium Web" w:cs="Calibri"/>
                <w:sz w:val="22"/>
                <w:szCs w:val="22"/>
              </w:rPr>
              <w:t>Ur</w:t>
            </w:r>
            <w:proofErr w:type="spellEnd"/>
            <w:r w:rsidRPr="005B16C9">
              <w:rPr>
                <w:rFonts w:ascii="Titillium Web" w:hAnsi="Titillium Web" w:cs="Calibri"/>
                <w:sz w:val="22"/>
                <w:szCs w:val="22"/>
              </w:rPr>
              <w:t>. broj.</w:t>
            </w:r>
          </w:p>
        </w:tc>
        <w:tc>
          <w:tcPr>
            <w:tcW w:w="3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B16C9" w:rsidR="00FC1825" w:rsidP="0020153A" w:rsidRDefault="00FC1825" w14:paraId="24D65C58" w14:textId="77777777">
            <w:pPr>
              <w:autoSpaceDE w:val="0"/>
              <w:autoSpaceDN w:val="0"/>
              <w:adjustRightInd w:val="0"/>
              <w:rPr>
                <w:rFonts w:ascii="Titillium Web" w:hAnsi="Titillium Web" w:cs="Calibri"/>
                <w:color w:val="000000"/>
                <w:sz w:val="22"/>
                <w:szCs w:val="22"/>
              </w:rPr>
            </w:pPr>
          </w:p>
        </w:tc>
      </w:tr>
      <w:tr w:rsidRPr="005B16C9" w:rsidR="00FC1825" w:rsidTr="7C0F2DD9" w14:paraId="143BB660" w14:textId="77777777">
        <w:trPr>
          <w:trHeight w:val="397"/>
        </w:trPr>
        <w:tc>
          <w:tcPr>
            <w:tcW w:w="1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5B16C9" w:rsidR="00FC1825" w:rsidP="0020153A" w:rsidRDefault="00FC1825" w14:paraId="4D5AF250" w14:textId="77777777">
            <w:pPr>
              <w:rPr>
                <w:rFonts w:ascii="Titillium Web" w:hAnsi="Titillium Web" w:cs="Calibri"/>
                <w:sz w:val="22"/>
                <w:szCs w:val="22"/>
              </w:rPr>
            </w:pPr>
            <w:r w:rsidRPr="005B16C9">
              <w:rPr>
                <w:rFonts w:ascii="Titillium Web" w:hAnsi="Titillium Web" w:cs="Calibri"/>
                <w:sz w:val="22"/>
                <w:szCs w:val="22"/>
              </w:rPr>
              <w:t>Ime, prezime, radno mjesto i potpis zaposlenika zaduženog za predmet</w:t>
            </w:r>
          </w:p>
        </w:tc>
        <w:tc>
          <w:tcPr>
            <w:tcW w:w="3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B16C9" w:rsidR="00FC1825" w:rsidP="0020153A" w:rsidRDefault="00FC1825" w14:paraId="350ECF83" w14:textId="77777777">
            <w:pPr>
              <w:autoSpaceDE w:val="0"/>
              <w:autoSpaceDN w:val="0"/>
              <w:adjustRightInd w:val="0"/>
              <w:rPr>
                <w:rFonts w:ascii="Titillium Web" w:hAnsi="Titillium Web" w:cs="Calibri"/>
                <w:color w:val="000000"/>
                <w:sz w:val="22"/>
                <w:szCs w:val="22"/>
              </w:rPr>
            </w:pPr>
          </w:p>
        </w:tc>
      </w:tr>
    </w:tbl>
    <w:p w:rsidR="000177E8" w:rsidP="00420D88" w:rsidRDefault="000177E8" w14:paraId="3B4EAF75" w14:textId="54ADE4C8">
      <w:pPr>
        <w:rPr>
          <w:rFonts w:ascii="Titillium Web" w:hAnsi="Titillium Web" w:cs="Calibri"/>
          <w:b/>
          <w:sz w:val="22"/>
          <w:szCs w:val="22"/>
        </w:rPr>
      </w:pPr>
      <w:r w:rsidRPr="005B16C9">
        <w:rPr>
          <w:rFonts w:ascii="Titillium Web" w:hAnsi="Titillium Web" w:cs="Calibri"/>
          <w:b/>
          <w:sz w:val="22"/>
          <w:szCs w:val="22"/>
        </w:rPr>
        <w:lastRenderedPageBreak/>
        <w:t>ISPUNJAVAJU PODNOSITELJI PRIJAVE:</w:t>
      </w:r>
    </w:p>
    <w:p w:rsidR="000177E8" w:rsidP="00420D88" w:rsidRDefault="000177E8" w14:paraId="4368C8F5" w14:textId="77777777">
      <w:pPr>
        <w:rPr>
          <w:rFonts w:ascii="Titillium Web" w:hAnsi="Titillium Web" w:cs="Calibri"/>
          <w:b/>
          <w:sz w:val="22"/>
          <w:szCs w:val="22"/>
        </w:rPr>
      </w:pPr>
    </w:p>
    <w:p w:rsidRPr="005B16C9" w:rsidR="00CC6A2F" w:rsidP="00CC6A2F" w:rsidRDefault="00CC6A2F" w14:paraId="7F00BBE1" w14:textId="68071B33">
      <w:pPr>
        <w:rPr>
          <w:rFonts w:ascii="Titillium Web" w:hAnsi="Titillium Web" w:cs="Calibri"/>
          <w:b/>
          <w:sz w:val="22"/>
          <w:szCs w:val="22"/>
          <w:u w:val="single"/>
        </w:rPr>
      </w:pPr>
      <w:r w:rsidRPr="005B16C9">
        <w:rPr>
          <w:rFonts w:ascii="Titillium Web" w:hAnsi="Titillium Web" w:cs="Calibri"/>
          <w:b/>
          <w:sz w:val="22"/>
          <w:szCs w:val="22"/>
          <w:u w:val="single"/>
        </w:rPr>
        <w:t xml:space="preserve">A. OPIS </w:t>
      </w:r>
      <w:r w:rsidR="00230FFD">
        <w:rPr>
          <w:rFonts w:ascii="Titillium Web" w:hAnsi="Titillium Web" w:cs="Calibri"/>
          <w:b/>
          <w:sz w:val="22"/>
          <w:szCs w:val="22"/>
          <w:u w:val="single"/>
        </w:rPr>
        <w:t>PATENTA</w:t>
      </w:r>
      <w:r w:rsidRPr="005B16C9">
        <w:rPr>
          <w:rFonts w:ascii="Titillium Web" w:hAnsi="Titillium Web" w:cs="Calibri"/>
          <w:b/>
          <w:sz w:val="22"/>
          <w:szCs w:val="22"/>
          <w:u w:val="single"/>
        </w:rPr>
        <w:t xml:space="preserve"> </w:t>
      </w:r>
    </w:p>
    <w:p w:rsidR="000177E8" w:rsidP="00420D88" w:rsidRDefault="000177E8" w14:paraId="570B98B1" w14:textId="77777777">
      <w:pPr>
        <w:rPr>
          <w:rFonts w:ascii="Titillium Web" w:hAnsi="Titillium Web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Pr="00692323" w:rsidR="00BD4409" w:rsidTr="00981CE7" w14:paraId="12BC3B95" w14:textId="77777777">
        <w:trPr>
          <w:trHeight w:val="557"/>
        </w:trPr>
        <w:tc>
          <w:tcPr>
            <w:tcW w:w="2972" w:type="dxa"/>
          </w:tcPr>
          <w:p w:rsidRPr="005E61DB" w:rsidR="00BD4409" w:rsidP="00871079" w:rsidRDefault="00BD4409" w14:paraId="488F5D44" w14:textId="3AB41974">
            <w:pPr>
              <w:pStyle w:val="box460215"/>
              <w:spacing w:before="0" w:beforeAutospacing="0" w:after="135" w:afterAutospacing="0"/>
              <w:rPr>
                <w:rFonts w:ascii="Titillium Web" w:hAnsi="Titillium Web" w:cs="Open Sans"/>
                <w:color w:val="414145"/>
                <w:sz w:val="21"/>
                <w:szCs w:val="21"/>
              </w:rPr>
            </w:pPr>
            <w:r w:rsidRPr="005B16C9">
              <w:rPr>
                <w:rFonts w:ascii="Titillium Web" w:hAnsi="Titillium Web" w:cs="Calibri"/>
                <w:b/>
                <w:bCs/>
                <w:color w:val="000000"/>
                <w:sz w:val="22"/>
                <w:szCs w:val="22"/>
              </w:rPr>
              <w:t>A.1.</w:t>
            </w:r>
            <w:r w:rsidR="00A846CF">
              <w:rPr>
                <w:rFonts w:ascii="Titillium Web" w:hAnsi="Titillium Web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366F0" w:rsidR="00C032A6">
              <w:rPr>
                <w:rFonts w:ascii="Titillium Web" w:hAnsi="Titillium Web" w:cs="Calibri"/>
                <w:b/>
                <w:bCs/>
                <w:color w:val="000000"/>
                <w:sz w:val="22"/>
                <w:szCs w:val="22"/>
              </w:rPr>
              <w:t xml:space="preserve">Naziv </w:t>
            </w:r>
            <w:r w:rsidR="00230FFD">
              <w:rPr>
                <w:rFonts w:ascii="Titillium Web" w:hAnsi="Titillium Web" w:cs="Calibri"/>
                <w:b/>
                <w:bCs/>
                <w:color w:val="000000"/>
                <w:sz w:val="22"/>
                <w:szCs w:val="22"/>
              </w:rPr>
              <w:t>patenta</w:t>
            </w:r>
            <w:r w:rsidR="00BF00C1">
              <w:rPr>
                <w:rFonts w:ascii="Titillium Web" w:hAnsi="Titillium Web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366F0">
              <w:rPr>
                <w:rFonts w:ascii="Titillium Web" w:hAnsi="Titillium Web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44" w:type="dxa"/>
          </w:tcPr>
          <w:p w:rsidRPr="005E61DB" w:rsidR="00BD4409" w:rsidP="00871079" w:rsidRDefault="00BD4409" w14:paraId="3EF9DDBC" w14:textId="77777777">
            <w:pPr>
              <w:pStyle w:val="box460215"/>
              <w:spacing w:after="135"/>
              <w:rPr>
                <w:rFonts w:ascii="Titillium Web" w:hAnsi="Titillium Web" w:eastAsia="MS Gothic" w:cs="Open Sans"/>
                <w:sz w:val="21"/>
                <w:szCs w:val="21"/>
              </w:rPr>
            </w:pPr>
          </w:p>
        </w:tc>
      </w:tr>
      <w:tr w:rsidRPr="00692323" w:rsidR="00D4238E" w:rsidTr="00981CE7" w14:paraId="40050F14" w14:textId="77777777">
        <w:trPr>
          <w:trHeight w:val="561"/>
        </w:trPr>
        <w:tc>
          <w:tcPr>
            <w:tcW w:w="2972" w:type="dxa"/>
          </w:tcPr>
          <w:p w:rsidRPr="005E61DB" w:rsidR="00D4238E" w:rsidP="00871079" w:rsidRDefault="00D4238E" w14:paraId="2CAF44BB" w14:textId="2A5BF56B">
            <w:pPr>
              <w:pStyle w:val="box460215"/>
              <w:spacing w:before="0" w:beforeAutospacing="0" w:after="135" w:afterAutospacing="0"/>
              <w:rPr>
                <w:rFonts w:ascii="Titillium Web" w:hAnsi="Titillium Web" w:cs="Open Sans"/>
                <w:color w:val="414145"/>
                <w:sz w:val="21"/>
                <w:szCs w:val="21"/>
              </w:rPr>
            </w:pPr>
            <w:r w:rsidRPr="00112363">
              <w:rPr>
                <w:rFonts w:ascii="Titillium Web" w:hAnsi="Titillium Web" w:cs="Calibri"/>
                <w:b/>
                <w:bCs/>
                <w:color w:val="000000"/>
                <w:sz w:val="22"/>
                <w:szCs w:val="22"/>
              </w:rPr>
              <w:t xml:space="preserve">A.2. Opis </w:t>
            </w:r>
            <w:r w:rsidR="00230FFD">
              <w:rPr>
                <w:rFonts w:ascii="Titillium Web" w:hAnsi="Titillium Web" w:cs="Calibri"/>
                <w:b/>
                <w:bCs/>
                <w:color w:val="000000"/>
                <w:sz w:val="22"/>
                <w:szCs w:val="22"/>
              </w:rPr>
              <w:t>patenta</w:t>
            </w:r>
          </w:p>
        </w:tc>
        <w:tc>
          <w:tcPr>
            <w:tcW w:w="6044" w:type="dxa"/>
          </w:tcPr>
          <w:p w:rsidRPr="005E61DB" w:rsidR="00D4238E" w:rsidP="00871079" w:rsidRDefault="00D4238E" w14:paraId="5AEC8DB4" w14:textId="77777777">
            <w:pPr>
              <w:pStyle w:val="box460215"/>
              <w:spacing w:after="135"/>
              <w:rPr>
                <w:rFonts w:ascii="Titillium Web" w:hAnsi="Titillium Web" w:eastAsia="MS Gothic" w:cs="Open Sans"/>
                <w:sz w:val="21"/>
                <w:szCs w:val="21"/>
              </w:rPr>
            </w:pPr>
          </w:p>
        </w:tc>
      </w:tr>
      <w:tr w:rsidRPr="00692323" w:rsidR="005E61DB" w:rsidTr="00981CE7" w14:paraId="5836A64E" w14:textId="77777777">
        <w:trPr>
          <w:trHeight w:val="1779"/>
        </w:trPr>
        <w:tc>
          <w:tcPr>
            <w:tcW w:w="2972" w:type="dxa"/>
          </w:tcPr>
          <w:p w:rsidRPr="005E61DB" w:rsidR="00692323" w:rsidP="00871079" w:rsidRDefault="00112363" w14:paraId="0CB2BE52" w14:textId="6C328D87">
            <w:pPr>
              <w:pStyle w:val="box460215"/>
              <w:spacing w:before="0" w:beforeAutospacing="0" w:after="135" w:afterAutospacing="0"/>
              <w:rPr>
                <w:rFonts w:ascii="Titillium Web" w:hAnsi="Titillium Web" w:cs="Open Sans"/>
                <w:color w:val="414145"/>
                <w:sz w:val="21"/>
                <w:szCs w:val="21"/>
              </w:rPr>
            </w:pPr>
            <w:r>
              <w:rPr>
                <w:rFonts w:ascii="Titillium Web" w:hAnsi="Titillium Web" w:cs="Calibri"/>
                <w:b/>
                <w:bCs/>
                <w:color w:val="000000"/>
                <w:sz w:val="22"/>
                <w:szCs w:val="22"/>
              </w:rPr>
              <w:t xml:space="preserve">A.3. </w:t>
            </w:r>
            <w:r w:rsidRPr="00112363" w:rsidR="00692323">
              <w:rPr>
                <w:rFonts w:ascii="Titillium Web" w:hAnsi="Titillium Web" w:cs="Calibri"/>
                <w:b/>
                <w:bCs/>
                <w:color w:val="000000"/>
                <w:sz w:val="22"/>
                <w:szCs w:val="22"/>
              </w:rPr>
              <w:t xml:space="preserve">Prikaz </w:t>
            </w:r>
            <w:r w:rsidR="00230FFD">
              <w:rPr>
                <w:rFonts w:ascii="Titillium Web" w:hAnsi="Titillium Web" w:cs="Calibri"/>
                <w:b/>
                <w:bCs/>
                <w:color w:val="000000"/>
                <w:sz w:val="22"/>
                <w:szCs w:val="22"/>
              </w:rPr>
              <w:t>patenta</w:t>
            </w:r>
          </w:p>
        </w:tc>
        <w:tc>
          <w:tcPr>
            <w:tcW w:w="6044" w:type="dxa"/>
          </w:tcPr>
          <w:p w:rsidR="00624C13" w:rsidP="00871079" w:rsidRDefault="00624C13" w14:paraId="66A95923" w14:textId="77777777">
            <w:pPr>
              <w:pStyle w:val="box460215"/>
              <w:spacing w:after="135"/>
              <w:rPr>
                <w:rFonts w:ascii="Titillium Web" w:hAnsi="Titillium Web" w:eastAsia="MS Gothic" w:cs="Open Sans"/>
                <w:sz w:val="21"/>
                <w:szCs w:val="21"/>
              </w:rPr>
            </w:pPr>
          </w:p>
          <w:p w:rsidR="00624C13" w:rsidP="00871079" w:rsidRDefault="00624C13" w14:paraId="2B9153FF" w14:textId="77777777">
            <w:pPr>
              <w:pStyle w:val="box460215"/>
              <w:spacing w:after="135"/>
              <w:rPr>
                <w:rFonts w:ascii="Titillium Web" w:hAnsi="Titillium Web" w:eastAsia="MS Gothic" w:cs="Open Sans"/>
                <w:sz w:val="21"/>
                <w:szCs w:val="21"/>
              </w:rPr>
            </w:pPr>
          </w:p>
          <w:p w:rsidR="00624C13" w:rsidP="00871079" w:rsidRDefault="00624C13" w14:paraId="7C929ED1" w14:textId="77777777">
            <w:pPr>
              <w:pStyle w:val="box460215"/>
              <w:spacing w:after="135"/>
              <w:rPr>
                <w:rFonts w:ascii="Titillium Web" w:hAnsi="Titillium Web" w:eastAsia="MS Gothic" w:cs="Open Sans"/>
                <w:sz w:val="21"/>
                <w:szCs w:val="21"/>
              </w:rPr>
            </w:pPr>
          </w:p>
          <w:p w:rsidR="00624C13" w:rsidP="00871079" w:rsidRDefault="00624C13" w14:paraId="7EFBDD2F" w14:textId="77777777">
            <w:pPr>
              <w:pStyle w:val="box460215"/>
              <w:spacing w:after="135"/>
              <w:rPr>
                <w:rFonts w:ascii="Titillium Web" w:hAnsi="Titillium Web" w:eastAsia="MS Gothic" w:cs="Open Sans"/>
                <w:sz w:val="21"/>
                <w:szCs w:val="21"/>
              </w:rPr>
            </w:pPr>
          </w:p>
          <w:p w:rsidR="00624C13" w:rsidP="00871079" w:rsidRDefault="00624C13" w14:paraId="728F2943" w14:textId="77777777">
            <w:pPr>
              <w:pStyle w:val="box460215"/>
              <w:spacing w:after="135"/>
              <w:rPr>
                <w:rFonts w:ascii="Titillium Web" w:hAnsi="Titillium Web" w:eastAsia="MS Gothic" w:cs="Open Sans"/>
                <w:sz w:val="21"/>
                <w:szCs w:val="21"/>
              </w:rPr>
            </w:pPr>
          </w:p>
          <w:p w:rsidRPr="005E61DB" w:rsidR="00624C13" w:rsidP="00871079" w:rsidRDefault="00624C13" w14:paraId="403BFBC6" w14:textId="77777777">
            <w:pPr>
              <w:pStyle w:val="box460215"/>
              <w:spacing w:after="135"/>
              <w:rPr>
                <w:rFonts w:ascii="Titillium Web" w:hAnsi="Titillium Web" w:eastAsia="MS Gothic" w:cs="Open Sans"/>
                <w:sz w:val="21"/>
                <w:szCs w:val="21"/>
              </w:rPr>
            </w:pPr>
          </w:p>
        </w:tc>
      </w:tr>
    </w:tbl>
    <w:p w:rsidR="00692323" w:rsidP="00420D88" w:rsidRDefault="00692323" w14:paraId="2161F57C" w14:textId="3B0A3DD5">
      <w:pPr>
        <w:rPr>
          <w:rFonts w:ascii="Titillium Web" w:hAnsi="Titillium Web" w:cs="Open Sans"/>
          <w:color w:val="414145"/>
          <w:sz w:val="21"/>
          <w:szCs w:val="21"/>
        </w:rPr>
      </w:pPr>
    </w:p>
    <w:p w:rsidR="007E4264" w:rsidP="00420D88" w:rsidRDefault="005308F3" w14:paraId="0ABB4243" w14:textId="1CD4959A">
      <w:pPr>
        <w:rPr>
          <w:rFonts w:ascii="Titillium Web" w:hAnsi="Titillium Web" w:cs="Open Sans"/>
          <w:color w:val="414145"/>
          <w:sz w:val="21"/>
          <w:szCs w:val="21"/>
        </w:rPr>
      </w:pPr>
      <w:r>
        <w:rPr>
          <w:rFonts w:ascii="Titillium Web" w:hAnsi="Titillium Web" w:cs="Calibri"/>
          <w:b/>
          <w:sz w:val="22"/>
          <w:szCs w:val="22"/>
          <w:u w:val="single"/>
        </w:rPr>
        <w:t>B</w:t>
      </w:r>
      <w:r w:rsidRPr="005B16C9" w:rsidR="00CC3130">
        <w:rPr>
          <w:rFonts w:ascii="Titillium Web" w:hAnsi="Titillium Web" w:cs="Calibri"/>
          <w:b/>
          <w:sz w:val="22"/>
          <w:szCs w:val="22"/>
          <w:u w:val="single"/>
        </w:rPr>
        <w:t xml:space="preserve">. </w:t>
      </w:r>
      <w:r>
        <w:rPr>
          <w:rFonts w:ascii="Titillium Web" w:hAnsi="Titillium Web" w:cs="Calibri"/>
          <w:b/>
          <w:sz w:val="22"/>
          <w:szCs w:val="22"/>
          <w:u w:val="single"/>
        </w:rPr>
        <w:t>PRIJAVA</w:t>
      </w:r>
    </w:p>
    <w:p w:rsidR="00C43E88" w:rsidP="00420D88" w:rsidRDefault="00C43E88" w14:paraId="7CD9C614" w14:textId="77777777">
      <w:pPr>
        <w:rPr>
          <w:rFonts w:ascii="Titillium Web" w:hAnsi="Titillium Web" w:cs="Open Sans"/>
          <w:color w:val="414145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3516B9" w:rsidTr="00981CE7" w14:paraId="43BD9BCC" w14:textId="77777777">
        <w:tc>
          <w:tcPr>
            <w:tcW w:w="2972" w:type="dxa"/>
          </w:tcPr>
          <w:p w:rsidR="003516B9" w:rsidP="003516B9" w:rsidRDefault="003516B9" w14:paraId="279A0E4A" w14:textId="36424171">
            <w:pPr>
              <w:rPr>
                <w:rFonts w:ascii="Titillium Web" w:hAnsi="Titillium Web" w:cs="Open Sans"/>
                <w:color w:val="414145"/>
                <w:sz w:val="21"/>
                <w:szCs w:val="21"/>
              </w:rPr>
            </w:pPr>
            <w:r>
              <w:rPr>
                <w:rFonts w:ascii="Titillium Web" w:hAnsi="Titillium Web" w:cs="Calibri"/>
                <w:b/>
                <w:bCs/>
                <w:color w:val="000000"/>
                <w:sz w:val="22"/>
                <w:szCs w:val="22"/>
              </w:rPr>
              <w:t>B</w:t>
            </w:r>
            <w:r w:rsidRPr="006B532C">
              <w:rPr>
                <w:rFonts w:ascii="Titillium Web" w:hAnsi="Titillium Web" w:cs="Calibri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Titillium Web" w:hAnsi="Titillium Web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6B532C">
              <w:rPr>
                <w:rFonts w:ascii="Titillium Web" w:hAnsi="Titillium Web" w:cs="Calibri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5D0AD8">
              <w:rPr>
                <w:rFonts w:ascii="Titillium Web" w:hAnsi="Titillium Web" w:cs="Calibri"/>
                <w:b/>
                <w:bCs/>
                <w:color w:val="000000"/>
                <w:sz w:val="22"/>
                <w:szCs w:val="22"/>
              </w:rPr>
              <w:t>Vrsta prijave</w:t>
            </w:r>
          </w:p>
        </w:tc>
        <w:tc>
          <w:tcPr>
            <w:tcW w:w="6044" w:type="dxa"/>
          </w:tcPr>
          <w:p w:rsidRPr="005E61DB" w:rsidR="00037485" w:rsidP="00037485" w:rsidRDefault="00000000" w14:paraId="4B2CDABC" w14:textId="5C8CAA2F">
            <w:pPr>
              <w:pStyle w:val="box460215"/>
              <w:spacing w:before="0" w:beforeAutospacing="0" w:after="0" w:afterAutospacing="0"/>
              <w:rPr>
                <w:rFonts w:ascii="Titillium Web" w:hAnsi="Titillium Web" w:cs="Open Sans"/>
                <w:color w:val="414145"/>
                <w:sz w:val="21"/>
                <w:szCs w:val="21"/>
              </w:rPr>
            </w:pPr>
            <w:sdt>
              <w:sdtPr>
                <w:rPr>
                  <w:rFonts w:ascii="Titillium Web" w:hAnsi="Titillium Web" w:eastAsia="MS Gothic" w:cs="Open Sans"/>
                  <w:sz w:val="21"/>
                  <w:szCs w:val="21"/>
                </w:rPr>
                <w:id w:val="128223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485">
                  <w:rPr>
                    <w:rFonts w:hint="eastAsia" w:ascii="MS Gothic" w:hAnsi="MS Gothic" w:eastAsia="MS Gothic" w:cs="Open Sans"/>
                    <w:sz w:val="21"/>
                    <w:szCs w:val="21"/>
                  </w:rPr>
                  <w:t>☐</w:t>
                </w:r>
              </w:sdtContent>
            </w:sdt>
            <w:r w:rsidRPr="005E61DB" w:rsidR="00037485">
              <w:rPr>
                <w:rFonts w:ascii="Titillium Web" w:hAnsi="Titillium Web" w:cs="Open Sans"/>
                <w:sz w:val="21"/>
                <w:szCs w:val="21"/>
              </w:rPr>
              <w:t xml:space="preserve"> nacionalna prijava</w:t>
            </w:r>
            <w:r w:rsidRPr="005E61DB" w:rsidR="00037485">
              <w:rPr>
                <w:rFonts w:ascii="Titillium Web" w:hAnsi="Titillium Web" w:cs="Open Sans"/>
                <w:color w:val="414145"/>
                <w:sz w:val="21"/>
                <w:szCs w:val="21"/>
              </w:rPr>
              <w:t xml:space="preserve"> (DZIV)</w:t>
            </w:r>
          </w:p>
          <w:p w:rsidRPr="005E61DB" w:rsidR="00037485" w:rsidP="00037485" w:rsidRDefault="00000000" w14:paraId="12D036B7" w14:textId="77777777">
            <w:pPr>
              <w:pStyle w:val="box460215"/>
              <w:spacing w:before="0" w:beforeAutospacing="0" w:after="0" w:afterAutospacing="0"/>
              <w:rPr>
                <w:rFonts w:ascii="Titillium Web" w:hAnsi="Titillium Web" w:cs="Open Sans"/>
                <w:color w:val="414145"/>
                <w:sz w:val="21"/>
                <w:szCs w:val="21"/>
              </w:rPr>
            </w:pPr>
            <w:sdt>
              <w:sdtPr>
                <w:rPr>
                  <w:rFonts w:ascii="Titillium Web" w:hAnsi="Titillium Web" w:eastAsia="MS Gothic" w:cs="Open Sans"/>
                  <w:sz w:val="21"/>
                  <w:szCs w:val="21"/>
                </w:rPr>
                <w:id w:val="-32320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61DB" w:rsidR="00037485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5E61DB" w:rsidR="00037485">
              <w:rPr>
                <w:rFonts w:ascii="Titillium Web" w:hAnsi="Titillium Web" w:cs="Open Sans"/>
                <w:sz w:val="21"/>
                <w:szCs w:val="21"/>
              </w:rPr>
              <w:t xml:space="preserve"> europska prijava</w:t>
            </w:r>
            <w:r w:rsidRPr="005E61DB" w:rsidR="00037485">
              <w:rPr>
                <w:rFonts w:ascii="Titillium Web" w:hAnsi="Titillium Web" w:cs="Open Sans"/>
                <w:color w:val="414145"/>
                <w:sz w:val="21"/>
                <w:szCs w:val="21"/>
              </w:rPr>
              <w:t xml:space="preserve"> (EUIPO)</w:t>
            </w:r>
          </w:p>
          <w:p w:rsidR="003516B9" w:rsidP="00037485" w:rsidRDefault="00000000" w14:paraId="5C22F27D" w14:textId="58CFCAD8">
            <w:pPr>
              <w:rPr>
                <w:rFonts w:ascii="Titillium Web" w:hAnsi="Titillium Web" w:cs="Open Sans"/>
                <w:color w:val="414145"/>
                <w:sz w:val="21"/>
                <w:szCs w:val="21"/>
              </w:rPr>
            </w:pPr>
            <w:sdt>
              <w:sdtPr>
                <w:rPr>
                  <w:rFonts w:ascii="Titillium Web" w:hAnsi="Titillium Web" w:eastAsia="MS Gothic" w:cs="Open Sans"/>
                  <w:sz w:val="21"/>
                  <w:szCs w:val="21"/>
                </w:rPr>
                <w:id w:val="188213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61DB" w:rsidR="00037485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5E61DB" w:rsidR="00037485">
              <w:rPr>
                <w:rFonts w:ascii="Titillium Web" w:hAnsi="Titillium Web" w:cs="Open Sans"/>
                <w:sz w:val="21"/>
                <w:szCs w:val="21"/>
              </w:rPr>
              <w:t xml:space="preserve"> međunarodna prijava (DZIV-WIPO)</w:t>
            </w:r>
          </w:p>
        </w:tc>
      </w:tr>
      <w:tr w:rsidR="003516B9" w:rsidTr="00981CE7" w14:paraId="7E9E151A" w14:textId="77777777">
        <w:tc>
          <w:tcPr>
            <w:tcW w:w="2972" w:type="dxa"/>
          </w:tcPr>
          <w:p w:rsidR="003516B9" w:rsidP="003516B9" w:rsidRDefault="003516B9" w14:paraId="5C0EBAA6" w14:textId="404256F0">
            <w:pPr>
              <w:rPr>
                <w:rFonts w:ascii="Titillium Web" w:hAnsi="Titillium Web" w:cs="Open Sans"/>
                <w:color w:val="414145"/>
                <w:sz w:val="21"/>
                <w:szCs w:val="21"/>
              </w:rPr>
            </w:pPr>
            <w:r>
              <w:rPr>
                <w:rFonts w:ascii="Titillium Web" w:hAnsi="Titillium Web" w:cs="Calibri"/>
                <w:b/>
                <w:bCs/>
                <w:color w:val="000000"/>
                <w:sz w:val="22"/>
                <w:szCs w:val="22"/>
              </w:rPr>
              <w:t>B</w:t>
            </w:r>
            <w:r w:rsidRPr="006B532C">
              <w:rPr>
                <w:rFonts w:ascii="Titillium Web" w:hAnsi="Titillium Web" w:cs="Calibri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Titillium Web" w:hAnsi="Titillium Web" w:cs="Calibri"/>
                <w:b/>
                <w:bCs/>
                <w:color w:val="000000"/>
                <w:sz w:val="22"/>
                <w:szCs w:val="22"/>
              </w:rPr>
              <w:t>2</w:t>
            </w:r>
            <w:r w:rsidRPr="006B532C">
              <w:rPr>
                <w:rFonts w:ascii="Titillium Web" w:hAnsi="Titillium Web" w:cs="Calibri"/>
                <w:b/>
                <w:bCs/>
                <w:color w:val="000000"/>
                <w:sz w:val="22"/>
                <w:szCs w:val="22"/>
              </w:rPr>
              <w:t>.</w:t>
            </w:r>
            <w:r w:rsidR="00037485">
              <w:rPr>
                <w:rFonts w:ascii="Titillium Web" w:hAnsi="Titillium Web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37485" w:rsidR="00037485">
              <w:rPr>
                <w:rFonts w:ascii="Titillium Web" w:hAnsi="Titillium Web" w:cs="Calibri"/>
                <w:b/>
                <w:bCs/>
                <w:color w:val="000000"/>
                <w:sz w:val="22"/>
                <w:szCs w:val="22"/>
              </w:rPr>
              <w:t>Podnositelj prijave</w:t>
            </w:r>
          </w:p>
        </w:tc>
        <w:tc>
          <w:tcPr>
            <w:tcW w:w="6044" w:type="dxa"/>
          </w:tcPr>
          <w:p w:rsidRPr="00114A0A" w:rsidR="00037485" w:rsidP="00037485" w:rsidRDefault="00037485" w14:paraId="0398187A" w14:textId="77777777">
            <w:pPr>
              <w:rPr>
                <w:rFonts w:ascii="Titillium Web" w:hAnsi="Titillium Web" w:cs="Open Sans"/>
                <w:sz w:val="21"/>
                <w:szCs w:val="21"/>
              </w:rPr>
            </w:pPr>
            <w:r w:rsidRPr="00114A0A">
              <w:rPr>
                <w:rFonts w:ascii="Titillium Web" w:hAnsi="Titillium Web" w:cs="Open Sans"/>
                <w:sz w:val="21"/>
                <w:szCs w:val="21"/>
              </w:rPr>
              <w:t>Sveučilište u Zagrebu Građevinski fakultet</w:t>
            </w:r>
          </w:p>
          <w:p w:rsidRPr="00114A0A" w:rsidR="00037485" w:rsidP="00037485" w:rsidRDefault="00037485" w14:paraId="7CEF9FB6" w14:textId="35D350DA">
            <w:pPr>
              <w:rPr>
                <w:rFonts w:ascii="Titillium Web" w:hAnsi="Titillium Web" w:cs="Open Sans"/>
                <w:sz w:val="21"/>
                <w:szCs w:val="21"/>
              </w:rPr>
            </w:pPr>
            <w:r w:rsidRPr="00114A0A">
              <w:rPr>
                <w:rFonts w:ascii="Titillium Web" w:hAnsi="Titillium Web" w:cs="Open Sans"/>
                <w:sz w:val="21"/>
                <w:szCs w:val="21"/>
              </w:rPr>
              <w:t>Fra Andrije Kačića</w:t>
            </w:r>
            <w:r w:rsidR="00C367CD">
              <w:rPr>
                <w:rFonts w:ascii="Titillium Web" w:hAnsi="Titillium Web" w:cs="Open Sans"/>
                <w:sz w:val="21"/>
                <w:szCs w:val="21"/>
              </w:rPr>
              <w:t xml:space="preserve"> </w:t>
            </w:r>
            <w:r w:rsidRPr="00114A0A">
              <w:rPr>
                <w:rFonts w:ascii="Titillium Web" w:hAnsi="Titillium Web" w:cs="Open Sans"/>
                <w:sz w:val="21"/>
                <w:szCs w:val="21"/>
              </w:rPr>
              <w:t>Miošića 26, 10 000 Zagreb</w:t>
            </w:r>
          </w:p>
          <w:p w:rsidRPr="00114A0A" w:rsidR="00037485" w:rsidP="00037485" w:rsidRDefault="00037485" w14:paraId="0FCF0D72" w14:textId="77777777">
            <w:pPr>
              <w:rPr>
                <w:rFonts w:ascii="Titillium Web" w:hAnsi="Titillium Web" w:cs="Open Sans"/>
                <w:sz w:val="21"/>
                <w:szCs w:val="21"/>
              </w:rPr>
            </w:pPr>
            <w:r w:rsidRPr="00114A0A">
              <w:rPr>
                <w:rFonts w:ascii="Titillium Web" w:hAnsi="Titillium Web" w:cs="Open Sans"/>
                <w:sz w:val="21"/>
                <w:szCs w:val="21"/>
              </w:rPr>
              <w:t>Privremena adresa: Kranjčevićeva 2, 10 000 Zagreb</w:t>
            </w:r>
          </w:p>
          <w:p w:rsidRPr="00114A0A" w:rsidR="00037485" w:rsidP="00037485" w:rsidRDefault="00037485" w14:paraId="15437980" w14:textId="77777777">
            <w:pPr>
              <w:rPr>
                <w:rFonts w:ascii="Titillium Web" w:hAnsi="Titillium Web" w:cs="Open Sans"/>
                <w:sz w:val="21"/>
                <w:szCs w:val="21"/>
              </w:rPr>
            </w:pPr>
            <w:r w:rsidRPr="00114A0A">
              <w:rPr>
                <w:rFonts w:ascii="Titillium Web" w:hAnsi="Titillium Web" w:cs="Open Sans"/>
                <w:sz w:val="21"/>
                <w:szCs w:val="21"/>
              </w:rPr>
              <w:t>Telefon: +385 1 4690 810</w:t>
            </w:r>
          </w:p>
          <w:p w:rsidRPr="00114A0A" w:rsidR="00037485" w:rsidP="00037485" w:rsidRDefault="00037485" w14:paraId="5898E7FC" w14:textId="0D39C641">
            <w:pPr>
              <w:rPr>
                <w:rFonts w:ascii="Titillium Web" w:hAnsi="Titillium Web" w:cs="Open Sans"/>
                <w:sz w:val="21"/>
                <w:szCs w:val="21"/>
              </w:rPr>
            </w:pPr>
            <w:r w:rsidRPr="00114A0A">
              <w:rPr>
                <w:rFonts w:ascii="Titillium Web" w:hAnsi="Titillium Web" w:cs="Open Sans"/>
                <w:sz w:val="21"/>
                <w:szCs w:val="21"/>
              </w:rPr>
              <w:t>Telefaks: +385 1 4828 050 (telefa</w:t>
            </w:r>
            <w:r w:rsidR="00C367CD">
              <w:rPr>
                <w:rFonts w:ascii="Titillium Web" w:hAnsi="Titillium Web" w:cs="Open Sans"/>
                <w:sz w:val="21"/>
                <w:szCs w:val="21"/>
              </w:rPr>
              <w:t>ks</w:t>
            </w:r>
            <w:r w:rsidRPr="00114A0A">
              <w:rPr>
                <w:rFonts w:ascii="Titillium Web" w:hAnsi="Titillium Web" w:cs="Open Sans"/>
                <w:sz w:val="21"/>
                <w:szCs w:val="21"/>
              </w:rPr>
              <w:t xml:space="preserve"> privremeno ne radi zbog preseljenja)</w:t>
            </w:r>
          </w:p>
          <w:p w:rsidRPr="00114A0A" w:rsidR="00037485" w:rsidP="00037485" w:rsidRDefault="00037485" w14:paraId="7D088922" w14:textId="77777777">
            <w:pPr>
              <w:rPr>
                <w:rFonts w:ascii="Titillium Web" w:hAnsi="Titillium Web" w:cs="Open Sans"/>
                <w:sz w:val="21"/>
                <w:szCs w:val="21"/>
              </w:rPr>
            </w:pPr>
            <w:r w:rsidRPr="00114A0A">
              <w:rPr>
                <w:rFonts w:ascii="Titillium Web" w:hAnsi="Titillium Web" w:cs="Open Sans"/>
                <w:sz w:val="21"/>
                <w:szCs w:val="21"/>
              </w:rPr>
              <w:t>E-mail: ured.dekana@grad.unizg.hr</w:t>
            </w:r>
          </w:p>
          <w:p w:rsidR="003516B9" w:rsidP="00037485" w:rsidRDefault="00037485" w14:paraId="3C1B4E78" w14:textId="4B81CE58">
            <w:pPr>
              <w:rPr>
                <w:rFonts w:ascii="Titillium Web" w:hAnsi="Titillium Web" w:cs="Open Sans"/>
                <w:color w:val="414145"/>
                <w:sz w:val="21"/>
                <w:szCs w:val="21"/>
              </w:rPr>
            </w:pPr>
            <w:r w:rsidRPr="00114A0A">
              <w:rPr>
                <w:rFonts w:ascii="Titillium Web" w:hAnsi="Titillium Web" w:cs="Open Sans"/>
                <w:sz w:val="21"/>
                <w:szCs w:val="21"/>
              </w:rPr>
              <w:t>OIB: 62924153420</w:t>
            </w:r>
          </w:p>
        </w:tc>
      </w:tr>
      <w:tr w:rsidR="002C3C01" w:rsidTr="00981CE7" w14:paraId="0ADA7059" w14:textId="77777777">
        <w:tc>
          <w:tcPr>
            <w:tcW w:w="2972" w:type="dxa"/>
          </w:tcPr>
          <w:p w:rsidR="002C3C01" w:rsidP="002C3C01" w:rsidRDefault="002C3C01" w14:paraId="119C798A" w14:textId="7B91A0D7">
            <w:pPr>
              <w:rPr>
                <w:rFonts w:ascii="Titillium Web" w:hAnsi="Titillium Web" w:cs="Open Sans"/>
                <w:color w:val="414145"/>
                <w:sz w:val="21"/>
                <w:szCs w:val="21"/>
              </w:rPr>
            </w:pPr>
            <w:r>
              <w:rPr>
                <w:rFonts w:ascii="Titillium Web" w:hAnsi="Titillium Web" w:cs="Calibri"/>
                <w:b/>
                <w:bCs/>
                <w:color w:val="000000"/>
                <w:sz w:val="22"/>
                <w:szCs w:val="22"/>
              </w:rPr>
              <w:t>B</w:t>
            </w:r>
            <w:r w:rsidRPr="006B532C">
              <w:rPr>
                <w:rFonts w:ascii="Titillium Web" w:hAnsi="Titillium Web" w:cs="Calibri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Titillium Web" w:hAnsi="Titillium Web" w:cs="Calibri"/>
                <w:b/>
                <w:bCs/>
                <w:color w:val="000000"/>
                <w:sz w:val="22"/>
                <w:szCs w:val="22"/>
              </w:rPr>
              <w:t>3</w:t>
            </w:r>
            <w:r w:rsidRPr="006B532C">
              <w:rPr>
                <w:rFonts w:ascii="Titillium Web" w:hAnsi="Titillium Web" w:cs="Calibri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Titillium Web" w:hAnsi="Titillium Web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C3C01">
              <w:rPr>
                <w:rFonts w:ascii="Titillium Web" w:hAnsi="Titillium Web" w:cs="Calibri"/>
                <w:b/>
                <w:bCs/>
                <w:color w:val="000000"/>
                <w:sz w:val="22"/>
                <w:szCs w:val="22"/>
              </w:rPr>
              <w:t xml:space="preserve">Stvaratelj </w:t>
            </w:r>
            <w:r w:rsidR="00981CE7">
              <w:rPr>
                <w:rFonts w:ascii="Titillium Web" w:hAnsi="Titillium Web" w:cs="Calibri"/>
                <w:b/>
                <w:bCs/>
                <w:color w:val="000000"/>
                <w:sz w:val="22"/>
                <w:szCs w:val="22"/>
              </w:rPr>
              <w:t>patenta</w:t>
            </w:r>
            <w:r w:rsidRPr="002C3C01">
              <w:rPr>
                <w:rFonts w:ascii="Titillium Web" w:hAnsi="Titillium Web" w:cs="Calibri"/>
                <w:b/>
                <w:bCs/>
                <w:color w:val="000000"/>
                <w:sz w:val="22"/>
                <w:szCs w:val="22"/>
              </w:rPr>
              <w:t xml:space="preserve"> (ime i prezime, OIB, adresa, e-mail i telefon podnositelja prijave (ako postoji)</w:t>
            </w:r>
          </w:p>
        </w:tc>
        <w:tc>
          <w:tcPr>
            <w:tcW w:w="6044" w:type="dxa"/>
          </w:tcPr>
          <w:p w:rsidR="002C3C01" w:rsidP="002C3C01" w:rsidRDefault="002C3C01" w14:paraId="3AEF569C" w14:textId="77777777">
            <w:pPr>
              <w:rPr>
                <w:rFonts w:ascii="Titillium Web" w:hAnsi="Titillium Web" w:cs="Open Sans"/>
                <w:color w:val="414145"/>
                <w:sz w:val="21"/>
                <w:szCs w:val="21"/>
              </w:rPr>
            </w:pPr>
          </w:p>
        </w:tc>
      </w:tr>
      <w:tr w:rsidR="00B36519" w:rsidTr="00981CE7" w14:paraId="2B7C4919" w14:textId="77777777">
        <w:tc>
          <w:tcPr>
            <w:tcW w:w="2972" w:type="dxa"/>
          </w:tcPr>
          <w:p w:rsidR="00B36519" w:rsidP="002C3C01" w:rsidRDefault="00B36519" w14:paraId="1732CC6C" w14:textId="23E023F8">
            <w:pPr>
              <w:rPr>
                <w:rFonts w:ascii="Titillium Web" w:hAnsi="Titillium Web" w:cs="Calibri"/>
                <w:b/>
                <w:bCs/>
                <w:color w:val="000000"/>
                <w:sz w:val="22"/>
                <w:szCs w:val="22"/>
              </w:rPr>
            </w:pPr>
            <w:r w:rsidRPr="00B36519">
              <w:rPr>
                <w:rFonts w:ascii="Titillium Web" w:hAnsi="Titillium Web" w:cs="Calibri"/>
                <w:b/>
                <w:bCs/>
                <w:color w:val="000000"/>
                <w:sz w:val="22"/>
                <w:szCs w:val="22"/>
              </w:rPr>
              <w:t>Mjesto, datum</w:t>
            </w:r>
          </w:p>
        </w:tc>
        <w:tc>
          <w:tcPr>
            <w:tcW w:w="6044" w:type="dxa"/>
          </w:tcPr>
          <w:p w:rsidR="00B36519" w:rsidP="002C3C01" w:rsidRDefault="00B36519" w14:paraId="50DBAC97" w14:textId="77777777">
            <w:pPr>
              <w:rPr>
                <w:rFonts w:ascii="Titillium Web" w:hAnsi="Titillium Web" w:cs="Open Sans"/>
                <w:color w:val="414145"/>
                <w:sz w:val="21"/>
                <w:szCs w:val="21"/>
              </w:rPr>
            </w:pPr>
          </w:p>
          <w:p w:rsidR="00163FCB" w:rsidP="002C3C01" w:rsidRDefault="00163FCB" w14:paraId="12D90AB4" w14:textId="77777777">
            <w:pPr>
              <w:rPr>
                <w:rFonts w:ascii="Titillium Web" w:hAnsi="Titillium Web" w:cs="Open Sans"/>
                <w:color w:val="414145"/>
                <w:sz w:val="21"/>
                <w:szCs w:val="21"/>
              </w:rPr>
            </w:pPr>
          </w:p>
        </w:tc>
      </w:tr>
    </w:tbl>
    <w:p w:rsidRPr="00981CE7" w:rsidR="00C43E88" w:rsidP="00420D88" w:rsidRDefault="00C43E88" w14:paraId="6134705F" w14:textId="77777777">
      <w:pPr>
        <w:rPr>
          <w:rFonts w:ascii="Titillium Web" w:hAnsi="Titillium Web" w:cs="Open Sans"/>
          <w:color w:val="414145"/>
          <w:sz w:val="28"/>
          <w:szCs w:val="28"/>
        </w:rPr>
      </w:pPr>
    </w:p>
    <w:p w:rsidRPr="005B16C9" w:rsidR="007D5BC6" w:rsidP="007D5BC6" w:rsidRDefault="007D5BC6" w14:paraId="710363F2" w14:textId="5E57B5C5">
      <w:pPr>
        <w:rPr>
          <w:rFonts w:ascii="Titillium Web" w:hAnsi="Titillium Web" w:cs="Calibri"/>
          <w:b/>
          <w:sz w:val="22"/>
          <w:szCs w:val="22"/>
        </w:rPr>
      </w:pPr>
      <w:r>
        <w:rPr>
          <w:rFonts w:ascii="Titillium Web" w:hAnsi="Titillium Web" w:cs="Calibri"/>
          <w:b/>
          <w:sz w:val="22"/>
          <w:szCs w:val="22"/>
        </w:rPr>
        <w:t xml:space="preserve">NAKNADNO UNOSI </w:t>
      </w:r>
      <w:r w:rsidRPr="005B16C9">
        <w:rPr>
          <w:rFonts w:ascii="Titillium Web" w:hAnsi="Titillium Web" w:cs="Calibri"/>
          <w:b/>
          <w:sz w:val="22"/>
          <w:szCs w:val="22"/>
        </w:rPr>
        <w:t xml:space="preserve">OSOBA NA SASTAVNICI ZADUŽENA ZA POSTUPANJE S PRIJAVOM: 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57"/>
        <w:gridCol w:w="5759"/>
      </w:tblGrid>
      <w:tr w:rsidRPr="005B16C9" w:rsidR="007D5BC6" w:rsidTr="00981CE7" w14:paraId="473DB1EA" w14:textId="77777777">
        <w:trPr>
          <w:trHeight w:val="397"/>
        </w:trPr>
        <w:tc>
          <w:tcPr>
            <w:tcW w:w="1806" w:type="pct"/>
            <w:shd w:val="clear" w:color="auto" w:fill="F2F2F2"/>
            <w:vAlign w:val="center"/>
          </w:tcPr>
          <w:p w:rsidRPr="005B16C9" w:rsidR="007D5BC6" w:rsidP="0020153A" w:rsidRDefault="007D5BC6" w14:paraId="62143EFF" w14:textId="31E84DFD">
            <w:pPr>
              <w:rPr>
                <w:rFonts w:ascii="Titillium Web" w:hAnsi="Titillium Web" w:cs="Calibri"/>
                <w:sz w:val="22"/>
                <w:szCs w:val="22"/>
              </w:rPr>
            </w:pPr>
            <w:r w:rsidRPr="005B16C9">
              <w:rPr>
                <w:rFonts w:ascii="Titillium Web" w:hAnsi="Titillium Web" w:cs="Calibri"/>
                <w:sz w:val="22"/>
                <w:szCs w:val="22"/>
              </w:rPr>
              <w:t xml:space="preserve">Datum </w:t>
            </w:r>
            <w:r w:rsidR="00C43E88">
              <w:rPr>
                <w:rFonts w:ascii="Titillium Web" w:hAnsi="Titillium Web" w:cs="Calibri"/>
                <w:sz w:val="22"/>
                <w:szCs w:val="22"/>
              </w:rPr>
              <w:t xml:space="preserve">registracije i broj </w:t>
            </w:r>
            <w:r w:rsidR="00981CE7">
              <w:rPr>
                <w:rFonts w:ascii="Titillium Web" w:hAnsi="Titillium Web" w:cs="Calibri"/>
                <w:sz w:val="22"/>
                <w:szCs w:val="22"/>
              </w:rPr>
              <w:t>patenta</w:t>
            </w:r>
          </w:p>
        </w:tc>
        <w:tc>
          <w:tcPr>
            <w:tcW w:w="3194" w:type="pct"/>
            <w:vAlign w:val="center"/>
          </w:tcPr>
          <w:p w:rsidRPr="005B16C9" w:rsidR="007D5BC6" w:rsidP="0020153A" w:rsidRDefault="007D5BC6" w14:paraId="3DC199FF" w14:textId="77777777">
            <w:pPr>
              <w:autoSpaceDE w:val="0"/>
              <w:autoSpaceDN w:val="0"/>
              <w:adjustRightInd w:val="0"/>
              <w:rPr>
                <w:rFonts w:ascii="Titillium Web" w:hAnsi="Titillium Web" w:cs="Calibri"/>
                <w:color w:val="000000"/>
                <w:sz w:val="22"/>
                <w:szCs w:val="22"/>
              </w:rPr>
            </w:pPr>
          </w:p>
        </w:tc>
      </w:tr>
    </w:tbl>
    <w:p w:rsidR="007D5BC6" w:rsidP="00981CE7" w:rsidRDefault="007D5BC6" w14:paraId="28D43BB5" w14:textId="787FFF54">
      <w:pPr>
        <w:rPr>
          <w:rFonts w:ascii="Titillium Web" w:hAnsi="Titillium Web" w:cs="Calibri"/>
          <w:b/>
        </w:rPr>
      </w:pPr>
    </w:p>
    <w:sectPr w:rsidR="007D5BC6">
      <w:footerReference w:type="default" r:id="rId1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0ECF" w:rsidP="00420D88" w:rsidRDefault="00930ECF" w14:paraId="1E78AEEE" w14:textId="77777777">
      <w:r>
        <w:separator/>
      </w:r>
    </w:p>
  </w:endnote>
  <w:endnote w:type="continuationSeparator" w:id="0">
    <w:p w:rsidR="00930ECF" w:rsidP="00420D88" w:rsidRDefault="00930ECF" w14:paraId="02BE393B" w14:textId="77777777">
      <w:r>
        <w:continuationSeparator/>
      </w:r>
    </w:p>
  </w:endnote>
  <w:endnote w:type="continuationNotice" w:id="1">
    <w:p w:rsidR="00930ECF" w:rsidRDefault="00930ECF" w14:paraId="440572C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UniZgMedium">
    <w:panose1 w:val="02000605000000020003"/>
    <w:charset w:val="00"/>
    <w:family w:val="modern"/>
    <w:notTrueType/>
    <w:pitch w:val="variable"/>
    <w:sig w:usb0="8000002F" w:usb1="5000204B" w:usb2="00000000" w:usb3="00000000" w:csb0="00000083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5367626"/>
      <w:docPartObj>
        <w:docPartGallery w:val="Page Numbers (Bottom of Page)"/>
        <w:docPartUnique/>
      </w:docPartObj>
    </w:sdtPr>
    <w:sdtContent>
      <w:p w:rsidR="00420D88" w:rsidRDefault="00420D88" w14:paraId="27AC1CF0" w14:textId="1A94359C">
        <w:pPr>
          <w:pStyle w:val="Footer"/>
          <w:jc w:val="right"/>
        </w:pPr>
        <w:r w:rsidRPr="00D40AD4">
          <w:rPr>
            <w:color w:val="767171" w:themeColor="background2" w:themeShade="80"/>
          </w:rPr>
          <w:fldChar w:fldCharType="begin"/>
        </w:r>
        <w:r w:rsidRPr="00D40AD4">
          <w:rPr>
            <w:color w:val="767171" w:themeColor="background2" w:themeShade="80"/>
          </w:rPr>
          <w:instrText>PAGE   \* MERGEFORMAT</w:instrText>
        </w:r>
        <w:r w:rsidRPr="00D40AD4">
          <w:rPr>
            <w:color w:val="767171" w:themeColor="background2" w:themeShade="80"/>
          </w:rPr>
          <w:fldChar w:fldCharType="separate"/>
        </w:r>
        <w:r w:rsidRPr="00D40AD4">
          <w:rPr>
            <w:color w:val="767171" w:themeColor="background2" w:themeShade="80"/>
          </w:rPr>
          <w:t>2</w:t>
        </w:r>
        <w:r w:rsidRPr="00D40AD4">
          <w:rPr>
            <w:color w:val="767171" w:themeColor="background2" w:themeShade="80"/>
          </w:rPr>
          <w:fldChar w:fldCharType="end"/>
        </w:r>
      </w:p>
    </w:sdtContent>
  </w:sdt>
  <w:p w:rsidR="00420D88" w:rsidRDefault="00420D88" w14:paraId="2887714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0ECF" w:rsidP="00420D88" w:rsidRDefault="00930ECF" w14:paraId="5DFC2935" w14:textId="77777777">
      <w:r>
        <w:separator/>
      </w:r>
    </w:p>
  </w:footnote>
  <w:footnote w:type="continuationSeparator" w:id="0">
    <w:p w:rsidR="00930ECF" w:rsidP="00420D88" w:rsidRDefault="00930ECF" w14:paraId="16CD1A31" w14:textId="77777777">
      <w:r>
        <w:continuationSeparator/>
      </w:r>
    </w:p>
  </w:footnote>
  <w:footnote w:type="continuationNotice" w:id="1">
    <w:p w:rsidR="00930ECF" w:rsidRDefault="00930ECF" w14:paraId="259E6E8F" w14:textId="77777777"/>
  </w:footnote>
  <w:footnote w:id="2">
    <w:p w:rsidRPr="00981CE7" w:rsidR="00981CE7" w:rsidP="00981CE7" w:rsidRDefault="00545A29" w14:paraId="4F6229A2" w14:textId="3C2195A2">
      <w:pPr>
        <w:pStyle w:val="FootnoteText"/>
        <w:rPr>
          <w:rFonts w:ascii="Titillium Web" w:hAnsi="Titillium Web"/>
          <w:i/>
          <w:iCs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981CE7" w:rsidR="00981CE7">
        <w:rPr>
          <w:rFonts w:ascii="Titillium Web" w:hAnsi="Titillium Web"/>
          <w:i/>
          <w:iCs/>
          <w:sz w:val="18"/>
          <w:szCs w:val="18"/>
        </w:rPr>
        <w:t>Patent je pravo priznato za izum koji nudi novo rješenje nekog tehničkog problema, a obično se odnosi na određeni proizvod, postupak ili primjenu.</w:t>
      </w:r>
      <w:r w:rsidR="00981CE7">
        <w:rPr>
          <w:rFonts w:ascii="Titillium Web" w:hAnsi="Titillium Web"/>
          <w:i/>
          <w:iCs/>
          <w:sz w:val="18"/>
          <w:szCs w:val="18"/>
        </w:rPr>
        <w:t xml:space="preserve"> </w:t>
      </w:r>
      <w:r w:rsidRPr="00981CE7" w:rsidR="00981CE7">
        <w:rPr>
          <w:rFonts w:ascii="Titillium Web" w:hAnsi="Titillium Web"/>
          <w:i/>
          <w:iCs/>
          <w:sz w:val="18"/>
          <w:szCs w:val="18"/>
        </w:rPr>
        <w:t>Patent se stječe priznanjem prava od strane ovlaštenog tijela za dodjelu tog prava (u Republici Hrvatskoj Državni zavod za intelektualno vlasništvo), na temelju ispitivanja prijave patenta koja opisuje izum.</w:t>
      </w:r>
    </w:p>
    <w:p w:rsidRPr="00270B3B" w:rsidR="00545A29" w:rsidP="00981CE7" w:rsidRDefault="00981CE7" w14:paraId="5F72F28D" w14:textId="03E4107C">
      <w:pPr>
        <w:pStyle w:val="FootnoteText"/>
        <w:rPr>
          <w:rFonts w:ascii="Titillium Web" w:hAnsi="Titillium Web"/>
          <w:i/>
          <w:iCs/>
          <w:sz w:val="18"/>
          <w:szCs w:val="18"/>
        </w:rPr>
      </w:pPr>
      <w:r w:rsidRPr="00981CE7">
        <w:rPr>
          <w:rFonts w:ascii="Titillium Web" w:hAnsi="Titillium Web"/>
          <w:i/>
          <w:iCs/>
          <w:sz w:val="18"/>
          <w:szCs w:val="18"/>
        </w:rPr>
        <w:t>Zaštita patentom predstavlja učinkovito poslovno sredstvo koje njegovim nositeljima (vlasnicima) omogućuje povrat sredstava uloženih u istraživanje i razvoj novih proizvoda i tehnologija, kroz svojevrsni monopol na upotrebu zaštićenog tehničkog rješenja tijekom trajanja patentne zaštite.</w:t>
      </w:r>
      <w:r w:rsidRPr="00270B3B" w:rsidR="00545A29">
        <w:rPr>
          <w:rFonts w:ascii="Titillium Web" w:hAnsi="Titillium Web"/>
          <w:i/>
          <w:iCs/>
          <w:sz w:val="18"/>
          <w:szCs w:val="18"/>
        </w:rPr>
        <w:t>.</w:t>
      </w:r>
    </w:p>
    <w:p w:rsidRPr="00270B3B" w:rsidR="005E61DB" w:rsidP="00545A29" w:rsidRDefault="005E61DB" w14:paraId="646813A7" w14:textId="0D1DAA7D">
      <w:pPr>
        <w:pStyle w:val="FootnoteText"/>
        <w:rPr>
          <w:rFonts w:ascii="Titillium Web" w:hAnsi="Titillium Web"/>
          <w:i/>
          <w:iCs/>
          <w:sz w:val="18"/>
          <w:szCs w:val="18"/>
        </w:rPr>
      </w:pPr>
      <w:r w:rsidRPr="00270B3B">
        <w:rPr>
          <w:rFonts w:ascii="Titillium Web" w:hAnsi="Titillium Web"/>
          <w:i/>
          <w:iCs/>
          <w:sz w:val="18"/>
          <w:szCs w:val="18"/>
        </w:rPr>
        <w:t xml:space="preserve">Tekst preuzet </w:t>
      </w:r>
      <w:hyperlink w:history="1" r:id="rId1">
        <w:r w:rsidRPr="00270B3B">
          <w:rPr>
            <w:rStyle w:val="Hyperlink"/>
            <w:rFonts w:ascii="Titillium Web" w:hAnsi="Titillium Web"/>
            <w:i/>
            <w:iCs/>
            <w:sz w:val="18"/>
            <w:szCs w:val="18"/>
          </w:rPr>
          <w:t xml:space="preserve">s mrežnih stranica </w:t>
        </w:r>
        <w:r w:rsidRPr="00270B3B">
          <w:rPr>
            <w:rStyle w:val="Hyperlink"/>
            <w:rFonts w:ascii="Titillium Web" w:hAnsi="Titillium Web"/>
            <w:i/>
            <w:iCs/>
            <w:sz w:val="18"/>
            <w:szCs w:val="18"/>
          </w:rPr>
          <w:t>D</w:t>
        </w:r>
        <w:r w:rsidRPr="00270B3B">
          <w:rPr>
            <w:rStyle w:val="Hyperlink"/>
            <w:rFonts w:ascii="Titillium Web" w:hAnsi="Titillium Web"/>
            <w:i/>
            <w:iCs/>
            <w:sz w:val="18"/>
            <w:szCs w:val="18"/>
          </w:rPr>
          <w:t>ržavnog zavoda za intelektualno vlasništvo</w:t>
        </w:r>
      </w:hyperlink>
      <w:r w:rsidRPr="00270B3B">
        <w:rPr>
          <w:rFonts w:ascii="Titillium Web" w:hAnsi="Titillium Web"/>
          <w:i/>
          <w:iCs/>
          <w:sz w:val="18"/>
          <w:szCs w:val="18"/>
        </w:rPr>
        <w:t xml:space="preserve">. </w:t>
      </w:r>
    </w:p>
    <w:p w:rsidRPr="00981CE7" w:rsidR="00C62198" w:rsidP="00545A29" w:rsidRDefault="00C36838" w14:paraId="4503EF68" w14:textId="5FC500C3">
      <w:pPr>
        <w:pStyle w:val="FootnoteText"/>
        <w:rPr>
          <w:rFonts w:ascii="Titillium Web" w:hAnsi="Titillium Web"/>
          <w:i/>
          <w:iCs/>
          <w:sz w:val="18"/>
          <w:szCs w:val="18"/>
        </w:rPr>
      </w:pPr>
      <w:r w:rsidRPr="00981CE7">
        <w:rPr>
          <w:rFonts w:ascii="Titillium Web" w:hAnsi="Titillium Web"/>
          <w:i/>
          <w:iCs/>
          <w:sz w:val="18"/>
          <w:szCs w:val="18"/>
        </w:rPr>
        <w:t>Zakon</w:t>
      </w:r>
      <w:r w:rsidRPr="00270B3B">
        <w:rPr>
          <w:rFonts w:ascii="Titillium Web" w:hAnsi="Titillium Web"/>
          <w:i/>
          <w:iCs/>
          <w:sz w:val="18"/>
          <w:szCs w:val="18"/>
        </w:rPr>
        <w:t xml:space="preserve"> i </w:t>
      </w:r>
      <w:r w:rsidRPr="00981CE7">
        <w:rPr>
          <w:rFonts w:ascii="Titillium Web" w:hAnsi="Titillium Web"/>
          <w:i/>
          <w:iCs/>
          <w:sz w:val="18"/>
          <w:szCs w:val="18"/>
        </w:rPr>
        <w:t xml:space="preserve">Pravilnik o </w:t>
      </w:r>
      <w:r w:rsidRPr="00981CE7" w:rsidR="00981CE7">
        <w:rPr>
          <w:rFonts w:ascii="Titillium Web" w:hAnsi="Titillium Web"/>
          <w:i/>
          <w:iCs/>
          <w:sz w:val="18"/>
          <w:szCs w:val="18"/>
        </w:rPr>
        <w:t>patentu</w:t>
      </w:r>
      <w:r w:rsidR="00981CE7">
        <w:rPr>
          <w:rFonts w:ascii="Titillium Web" w:hAnsi="Titillium Web"/>
          <w:i/>
          <w:iCs/>
          <w:sz w:val="18"/>
          <w:szCs w:val="18"/>
        </w:rPr>
        <w:t xml:space="preserve"> d</w:t>
      </w:r>
      <w:r w:rsidRPr="00270B3B">
        <w:rPr>
          <w:rFonts w:ascii="Titillium Web" w:hAnsi="Titillium Web"/>
          <w:i/>
          <w:iCs/>
          <w:sz w:val="18"/>
          <w:szCs w:val="18"/>
        </w:rPr>
        <w:t>ostupni su na poveznic</w:t>
      </w:r>
      <w:r w:rsidR="00981CE7">
        <w:rPr>
          <w:rFonts w:ascii="Titillium Web" w:hAnsi="Titillium Web"/>
          <w:i/>
          <w:iCs/>
          <w:sz w:val="18"/>
          <w:szCs w:val="18"/>
        </w:rPr>
        <w:t xml:space="preserve">i </w:t>
      </w:r>
      <w:hyperlink w:history="1" r:id="rId2">
        <w:r w:rsidRPr="00981CE7" w:rsidR="00981CE7">
          <w:rPr>
            <w:rStyle w:val="Hyperlink"/>
            <w:rFonts w:ascii="Titillium Web" w:hAnsi="Titillium Web"/>
            <w:i/>
            <w:iCs/>
            <w:sz w:val="18"/>
            <w:szCs w:val="18"/>
          </w:rPr>
          <w:t>ovdje</w:t>
        </w:r>
      </w:hyperlink>
      <w:r w:rsidRPr="00270B3B">
        <w:rPr>
          <w:rFonts w:ascii="Titillium Web" w:hAnsi="Titillium Web"/>
          <w:i/>
          <w:iCs/>
          <w:sz w:val="18"/>
          <w:szCs w:val="18"/>
        </w:rPr>
        <w:t xml:space="preserve">. </w:t>
      </w:r>
      <w:r w:rsidR="00981CE7">
        <w:rPr>
          <w:rFonts w:ascii="Titillium Web" w:hAnsi="Titillium Web"/>
          <w:i/>
          <w:iCs/>
          <w:sz w:val="18"/>
          <w:szCs w:val="18"/>
        </w:rPr>
        <w:t xml:space="preserve">EU propisi </w:t>
      </w:r>
      <w:r w:rsidRPr="00270B3B" w:rsidR="00C62198">
        <w:rPr>
          <w:rFonts w:ascii="Titillium Web" w:hAnsi="Titillium Web"/>
          <w:i/>
          <w:iCs/>
          <w:sz w:val="18"/>
          <w:szCs w:val="18"/>
        </w:rPr>
        <w:t>dostupn</w:t>
      </w:r>
      <w:r w:rsidR="00981CE7">
        <w:rPr>
          <w:rFonts w:ascii="Titillium Web" w:hAnsi="Titillium Web"/>
          <w:i/>
          <w:iCs/>
          <w:sz w:val="18"/>
          <w:szCs w:val="18"/>
        </w:rPr>
        <w:t xml:space="preserve">i su </w:t>
      </w:r>
      <w:hyperlink w:history="1" r:id="rId3">
        <w:r w:rsidRPr="00270B3B" w:rsidR="00C62198">
          <w:rPr>
            <w:rStyle w:val="Hyperlink"/>
            <w:rFonts w:ascii="Titillium Web" w:hAnsi="Titillium Web"/>
            <w:i/>
            <w:iCs/>
            <w:sz w:val="18"/>
            <w:szCs w:val="18"/>
          </w:rPr>
          <w:t>ovdje</w:t>
        </w:r>
      </w:hyperlink>
      <w:r w:rsidRPr="00270B3B" w:rsidR="00B6401F">
        <w:rPr>
          <w:rFonts w:ascii="Titillium Web" w:hAnsi="Titillium Web"/>
          <w:i/>
          <w:iCs/>
          <w:sz w:val="18"/>
          <w:szCs w:val="18"/>
        </w:rPr>
        <w:t xml:space="preserve">, dok su </w:t>
      </w:r>
      <w:r w:rsidR="00981CE7">
        <w:rPr>
          <w:rFonts w:ascii="Titillium Web" w:hAnsi="Titillium Web"/>
          <w:i/>
          <w:iCs/>
          <w:sz w:val="18"/>
          <w:szCs w:val="18"/>
        </w:rPr>
        <w:t xml:space="preserve">međunarodni sporazumi iz područja patentne zaštite dostupni </w:t>
      </w:r>
      <w:hyperlink w:history="1" r:id="rId4">
        <w:r w:rsidRPr="00981CE7" w:rsidR="00981CE7">
          <w:rPr>
            <w:rStyle w:val="Hyperlink"/>
            <w:rFonts w:ascii="Titillium Web" w:hAnsi="Titillium Web"/>
            <w:i/>
            <w:iCs/>
            <w:sz w:val="18"/>
            <w:szCs w:val="18"/>
          </w:rPr>
          <w:t>ovdje.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D28"/>
    <w:multiLevelType w:val="hybridMultilevel"/>
    <w:tmpl w:val="15C809B6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FAB1D10"/>
    <w:multiLevelType w:val="hybridMultilevel"/>
    <w:tmpl w:val="F46204C8"/>
    <w:lvl w:ilvl="0" w:tplc="46AA7AE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5DA3829"/>
    <w:multiLevelType w:val="hybridMultilevel"/>
    <w:tmpl w:val="6DCCC17C"/>
    <w:lvl w:ilvl="0" w:tplc="041A0001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3" w15:restartNumberingAfterBreak="0">
    <w:nsid w:val="6F9E4861"/>
    <w:multiLevelType w:val="hybridMultilevel"/>
    <w:tmpl w:val="E760CE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019830">
    <w:abstractNumId w:val="2"/>
  </w:num>
  <w:num w:numId="2" w16cid:durableId="1688678224">
    <w:abstractNumId w:val="0"/>
  </w:num>
  <w:num w:numId="3" w16cid:durableId="1319724252">
    <w:abstractNumId w:val="1"/>
  </w:num>
  <w:num w:numId="4" w16cid:durableId="1943566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69"/>
    <w:rsid w:val="00000000"/>
    <w:rsid w:val="00015F17"/>
    <w:rsid w:val="000177E8"/>
    <w:rsid w:val="00017BB6"/>
    <w:rsid w:val="00026866"/>
    <w:rsid w:val="00037485"/>
    <w:rsid w:val="0006743D"/>
    <w:rsid w:val="000768A2"/>
    <w:rsid w:val="00090C0B"/>
    <w:rsid w:val="000C10FA"/>
    <w:rsid w:val="000D2138"/>
    <w:rsid w:val="000E0E39"/>
    <w:rsid w:val="0010534C"/>
    <w:rsid w:val="00112363"/>
    <w:rsid w:val="00114A0A"/>
    <w:rsid w:val="001233AE"/>
    <w:rsid w:val="00163FCB"/>
    <w:rsid w:val="0016496B"/>
    <w:rsid w:val="001761FD"/>
    <w:rsid w:val="001A3392"/>
    <w:rsid w:val="001C31B7"/>
    <w:rsid w:val="001E0FC8"/>
    <w:rsid w:val="001E42A6"/>
    <w:rsid w:val="00230FFD"/>
    <w:rsid w:val="002322FD"/>
    <w:rsid w:val="002366F0"/>
    <w:rsid w:val="00254F36"/>
    <w:rsid w:val="00256625"/>
    <w:rsid w:val="00270B3B"/>
    <w:rsid w:val="002C3C01"/>
    <w:rsid w:val="00315FC1"/>
    <w:rsid w:val="00333769"/>
    <w:rsid w:val="003516B9"/>
    <w:rsid w:val="003656D2"/>
    <w:rsid w:val="00377158"/>
    <w:rsid w:val="003A363F"/>
    <w:rsid w:val="003F26ED"/>
    <w:rsid w:val="00420D88"/>
    <w:rsid w:val="00424A99"/>
    <w:rsid w:val="00492891"/>
    <w:rsid w:val="00494614"/>
    <w:rsid w:val="004C3AD2"/>
    <w:rsid w:val="00516D2D"/>
    <w:rsid w:val="005308F3"/>
    <w:rsid w:val="00545A29"/>
    <w:rsid w:val="00582D3B"/>
    <w:rsid w:val="005D0AD8"/>
    <w:rsid w:val="005D6B2E"/>
    <w:rsid w:val="005E61DB"/>
    <w:rsid w:val="00617D05"/>
    <w:rsid w:val="00624C13"/>
    <w:rsid w:val="00645CB4"/>
    <w:rsid w:val="00652D20"/>
    <w:rsid w:val="00692323"/>
    <w:rsid w:val="00710454"/>
    <w:rsid w:val="00731932"/>
    <w:rsid w:val="007470E6"/>
    <w:rsid w:val="00757FD2"/>
    <w:rsid w:val="0077085D"/>
    <w:rsid w:val="00791AAC"/>
    <w:rsid w:val="007B4358"/>
    <w:rsid w:val="007D5BC6"/>
    <w:rsid w:val="007E11B2"/>
    <w:rsid w:val="007E4264"/>
    <w:rsid w:val="00802C26"/>
    <w:rsid w:val="00824C91"/>
    <w:rsid w:val="0086685C"/>
    <w:rsid w:val="00881356"/>
    <w:rsid w:val="0089318C"/>
    <w:rsid w:val="008C0F10"/>
    <w:rsid w:val="008C6DEB"/>
    <w:rsid w:val="008D2E85"/>
    <w:rsid w:val="00906754"/>
    <w:rsid w:val="00924712"/>
    <w:rsid w:val="00930ECF"/>
    <w:rsid w:val="00946645"/>
    <w:rsid w:val="00981CE7"/>
    <w:rsid w:val="009D347D"/>
    <w:rsid w:val="009F2960"/>
    <w:rsid w:val="009F332C"/>
    <w:rsid w:val="00A17DE8"/>
    <w:rsid w:val="00A846CF"/>
    <w:rsid w:val="00AA1DBA"/>
    <w:rsid w:val="00AB58A8"/>
    <w:rsid w:val="00B01D8E"/>
    <w:rsid w:val="00B36519"/>
    <w:rsid w:val="00B6401F"/>
    <w:rsid w:val="00B73BC3"/>
    <w:rsid w:val="00B8688E"/>
    <w:rsid w:val="00BA3569"/>
    <w:rsid w:val="00BB45AA"/>
    <w:rsid w:val="00BD4409"/>
    <w:rsid w:val="00BF00C1"/>
    <w:rsid w:val="00C032A6"/>
    <w:rsid w:val="00C25A5B"/>
    <w:rsid w:val="00C367CD"/>
    <w:rsid w:val="00C36838"/>
    <w:rsid w:val="00C37D57"/>
    <w:rsid w:val="00C43E88"/>
    <w:rsid w:val="00C537D4"/>
    <w:rsid w:val="00C62198"/>
    <w:rsid w:val="00C7289C"/>
    <w:rsid w:val="00C8480B"/>
    <w:rsid w:val="00CC3130"/>
    <w:rsid w:val="00CC6A2F"/>
    <w:rsid w:val="00D40AD4"/>
    <w:rsid w:val="00D4238E"/>
    <w:rsid w:val="00D86872"/>
    <w:rsid w:val="00D925BB"/>
    <w:rsid w:val="00D9566C"/>
    <w:rsid w:val="00DD31B4"/>
    <w:rsid w:val="00E01AF2"/>
    <w:rsid w:val="00E26F9E"/>
    <w:rsid w:val="00E46BD3"/>
    <w:rsid w:val="00EE5CBC"/>
    <w:rsid w:val="00EF4013"/>
    <w:rsid w:val="00F16D69"/>
    <w:rsid w:val="00F82343"/>
    <w:rsid w:val="00F90129"/>
    <w:rsid w:val="00FB3B01"/>
    <w:rsid w:val="00FC09AD"/>
    <w:rsid w:val="00FC1825"/>
    <w:rsid w:val="00FD2159"/>
    <w:rsid w:val="00FE1070"/>
    <w:rsid w:val="00FF498F"/>
    <w:rsid w:val="7C0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B1B1"/>
  <w15:chartTrackingRefBased/>
  <w15:docId w15:val="{F1A6CEB3-F41E-462E-AD34-02F41C9F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2C26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hr-HR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420D88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420D88"/>
    <w:pPr>
      <w:spacing w:after="0" w:line="240" w:lineRule="auto"/>
    </w:pPr>
    <w:rPr>
      <w:rFonts w:ascii="Times New Roman" w:hAnsi="Times New Roman" w:eastAsia="Times New Roman" w:cs="Times New Roman"/>
      <w:noProof/>
      <w:kern w:val="0"/>
      <w:sz w:val="24"/>
      <w:szCs w:val="24"/>
      <w:lang w:eastAsia="hr-HR"/>
      <w14:ligatures w14:val="none"/>
    </w:rPr>
  </w:style>
  <w:style w:type="character" w:styleId="NoSpacingChar" w:customStyle="1">
    <w:name w:val="No Spacing Char"/>
    <w:link w:val="NoSpacing"/>
    <w:uiPriority w:val="1"/>
    <w:rsid w:val="00420D88"/>
    <w:rPr>
      <w:rFonts w:ascii="Times New Roman" w:hAnsi="Times New Roman" w:eastAsia="Times New Roman" w:cs="Times New Roman"/>
      <w:noProof/>
      <w:kern w:val="0"/>
      <w:sz w:val="24"/>
      <w:szCs w:val="24"/>
      <w:lang w:eastAsia="hr-H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20D8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20D88"/>
    <w:rPr>
      <w:rFonts w:ascii="Times New Roman" w:hAnsi="Times New Roman" w:eastAsia="Times New Roman" w:cs="Times New Roman"/>
      <w:kern w:val="0"/>
      <w:sz w:val="24"/>
      <w:szCs w:val="24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0D8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20D88"/>
    <w:rPr>
      <w:rFonts w:ascii="Times New Roman" w:hAnsi="Times New Roman" w:eastAsia="Times New Roman" w:cs="Times New Roman"/>
      <w:kern w:val="0"/>
      <w:sz w:val="24"/>
      <w:szCs w:val="24"/>
      <w:lang w:eastAsia="hr-HR"/>
      <w14:ligatures w14:val="none"/>
    </w:rPr>
  </w:style>
  <w:style w:type="paragraph" w:styleId="Revision">
    <w:name w:val="Revision"/>
    <w:hidden/>
    <w:uiPriority w:val="99"/>
    <w:semiHidden/>
    <w:rsid w:val="009F296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hr-HR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545A29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545A29"/>
    <w:rPr>
      <w:rFonts w:ascii="Times New Roman" w:hAnsi="Times New Roman" w:eastAsia="Times New Roman" w:cs="Times New Roman"/>
      <w:kern w:val="0"/>
      <w:sz w:val="20"/>
      <w:szCs w:val="20"/>
      <w:lang w:eastAsia="hr-H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45A2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621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2198"/>
    <w:rPr>
      <w:color w:val="954F72" w:themeColor="followedHyperlink"/>
      <w:u w:val="single"/>
    </w:rPr>
  </w:style>
  <w:style w:type="paragraph" w:styleId="box460215" w:customStyle="1">
    <w:name w:val="box_460215"/>
    <w:basedOn w:val="Normal"/>
    <w:rsid w:val="0069232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6923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hyperlink" Target="https://www.grad.unizg.hr/_download/repository/Odluka%20o%20prezimanju%20-%20Intelektualno%20vlasni%C5%A1tvo.pdf" TargetMode="Externa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://www.unizg.hr/fileadmin/rektorat/O_Sveucilistu/Tijela_sluzbe/Senat/Odluke/2021-2022/Pravilnik_o_upravljanju_intelektualnim_vlasnistvom_na_Sveucilistu_u_Zagrebu.pdf" TargetMode="Externa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://www.unizg.hr/fileadmin/rektorat/O_Sveucilistu/Tijela_sluzbe/Senat/Odluke/2021-2022/Smjernice_upravljanja_intelektualnim_vlasnistvom_na_Sveucilistu_u_Zagrebu.pdf" TargetMode="Externa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yperlink" Target="https://www.unizg.hr/fileadmin/rektorat/O_Sveucilistu/Tijela_sluzbe/Senat/Odluke/2021-2022/Pravilnik_o_upravljanju_intelektualnim_vlasnistvom_na_Sveucilistu_u_Zagrebu.pdf" TargetMode="Externa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footer" Target="footer1.xml" Id="rId14" 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ziv.hr/hr/intelektualno-vlasnistvo/patenti/zakonodavstvo/eu-propisi/" TargetMode="External"/><Relationship Id="rId2" Type="http://schemas.openxmlformats.org/officeDocument/2006/relationships/hyperlink" Target="https://www.dziv.hr/hr/intelektualno-vlasnistvo/patenti/zakonodavstvo/" TargetMode="External"/><Relationship Id="rId1" Type="http://schemas.openxmlformats.org/officeDocument/2006/relationships/hyperlink" Target="https://www.dziv.hr/hr/intelektualno-vlasnistvo/patenti/" TargetMode="External"/><Relationship Id="rId4" Type="http://schemas.openxmlformats.org/officeDocument/2006/relationships/hyperlink" Target="https://www.dziv.hr/hr/intelektualno-vlasnistvo/patenti/zakonodavstvo/medjunarodni-ugovor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5F602-39CB-4E42-B458-B43D4455A2A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Ida Javorski Milošić</dc:creator>
  <keywords/>
  <dc:description/>
  <lastModifiedBy>Ida Javorski Milošić</lastModifiedBy>
  <revision>3</revision>
  <dcterms:created xsi:type="dcterms:W3CDTF">2024-03-25T11:09:00.0000000Z</dcterms:created>
  <dcterms:modified xsi:type="dcterms:W3CDTF">2024-05-08T10:32:27.2907655Z</dcterms:modified>
</coreProperties>
</file>